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405" w:type="dxa"/>
        <w:tblLook w:val="04A0" w:firstRow="1" w:lastRow="0" w:firstColumn="1" w:lastColumn="0" w:noHBand="0" w:noVBand="1"/>
      </w:tblPr>
      <w:tblGrid>
        <w:gridCol w:w="1751"/>
        <w:gridCol w:w="11654"/>
      </w:tblGrid>
      <w:tr w:rsidR="00DD4B85" w:rsidRPr="007B45E7" w:rsidTr="00247DC1">
        <w:trPr>
          <w:cantSplit/>
        </w:trPr>
        <w:tc>
          <w:tcPr>
            <w:tcW w:w="13405" w:type="dxa"/>
            <w:gridSpan w:val="2"/>
          </w:tcPr>
          <w:bookmarkStart w:id="0" w:name="_GoBack"/>
          <w:bookmarkEnd w:id="0"/>
          <w:p w:rsidR="00DD4B85" w:rsidRPr="00236ED9" w:rsidRDefault="00C878B0" w:rsidP="00F36D29">
            <w:pPr>
              <w:spacing w:before="120" w:after="120"/>
              <w:rPr>
                <w:rFonts w:asciiTheme="majorHAnsi" w:hAnsiTheme="majorHAnsi"/>
                <w:b/>
                <w:bCs/>
                <w:sz w:val="20"/>
                <w:szCs w:val="20"/>
              </w:rPr>
            </w:pPr>
            <w:r>
              <w:fldChar w:fldCharType="begin"/>
            </w:r>
            <w:r>
              <w:instrText xml:space="preserve"> HYPERLINK "http://www.chesapeakebay.net/chesapeakebaywatershedagreement/goal/sustainable_fisheries" </w:instrText>
            </w:r>
            <w:r>
              <w:fldChar w:fldCharType="separate"/>
            </w:r>
            <w:r w:rsidR="00DD4B85" w:rsidRPr="00236ED9">
              <w:rPr>
                <w:rStyle w:val="Hyperlink"/>
                <w:b/>
                <w:bCs/>
                <w:u w:val="none"/>
              </w:rPr>
              <w:t>Sustainable Fisheries</w:t>
            </w:r>
            <w:r>
              <w:rPr>
                <w:rStyle w:val="Hyperlink"/>
                <w:b/>
                <w:bCs/>
                <w:u w:val="none"/>
              </w:rPr>
              <w:fldChar w:fldCharType="end"/>
            </w:r>
            <w:r w:rsidR="00DD4B85">
              <w:t xml:space="preserve">:  </w:t>
            </w:r>
            <w:r w:rsidR="00DD4B85" w:rsidRPr="00236ED9">
              <w:t>Protect, restore and enhance finfish, shellfish and other living resources, their habitats and ecological relationships to sustain all fisheries and provide for a balanced ecosystem in the watershed and Bay.</w:t>
            </w:r>
          </w:p>
        </w:tc>
      </w:tr>
      <w:tr w:rsidR="00DD4B85" w:rsidRPr="007B45E7" w:rsidTr="00247DC1">
        <w:trPr>
          <w:cantSplit/>
        </w:trPr>
        <w:tc>
          <w:tcPr>
            <w:tcW w:w="1751" w:type="dxa"/>
          </w:tcPr>
          <w:p w:rsidR="00DD4B85" w:rsidRPr="00236ED9" w:rsidRDefault="00DD4B85" w:rsidP="00216DD2"/>
        </w:tc>
        <w:tc>
          <w:tcPr>
            <w:tcW w:w="11654" w:type="dxa"/>
          </w:tcPr>
          <w:p w:rsidR="00DD4B85" w:rsidRPr="00236ED9" w:rsidRDefault="00DD4B85" w:rsidP="00236ED9">
            <w:pPr>
              <w:rPr>
                <w:rFonts w:asciiTheme="majorHAnsi" w:hAnsiTheme="majorHAnsi"/>
                <w:color w:val="636363"/>
                <w:sz w:val="20"/>
                <w:szCs w:val="20"/>
              </w:rPr>
            </w:pPr>
            <w:r w:rsidRPr="00792BD3">
              <w:rPr>
                <w:rStyle w:val="Strong"/>
                <w:rFonts w:asciiTheme="majorHAnsi" w:hAnsiTheme="majorHAnsi"/>
                <w:sz w:val="20"/>
                <w:szCs w:val="20"/>
              </w:rPr>
              <w:t>Blue Crab Abundance Outcome:</w:t>
            </w:r>
            <w:r w:rsidRPr="00792BD3">
              <w:rPr>
                <w:rFonts w:asciiTheme="majorHAnsi" w:hAnsiTheme="majorHAnsi"/>
                <w:sz w:val="20"/>
                <w:szCs w:val="20"/>
              </w:rPr>
              <w:t xml:space="preserve"> Maintain a sustainable blue crab population based on the current 2012 target of 215 million adult females. Refine population targets through 2025 based on best available science. Learn more about this </w:t>
            </w:r>
            <w:hyperlink r:id="rId8"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Blue Crab Management Outcome:</w:t>
            </w:r>
            <w:r w:rsidRPr="00792BD3">
              <w:rPr>
                <w:rFonts w:asciiTheme="majorHAnsi" w:hAnsiTheme="majorHAnsi"/>
                <w:sz w:val="20"/>
                <w:szCs w:val="20"/>
              </w:rPr>
              <w:t xml:space="preserve"> Manage for a stable and productive crab fishery including working with the industry, recreational crabbers and other stakeholders to improve commercial and recreational harvest accountability. By 2018, evaluate the establishment of a Bay-wide, allocation-based management framework with annual levels set by the jurisdictions for the purpose of accounting for and adjusting harvest by each jurisdiction. Learn more about this </w:t>
            </w:r>
            <w:hyperlink r:id="rId9"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Oyster Outcome:</w:t>
            </w:r>
            <w:r w:rsidRPr="00792BD3">
              <w:rPr>
                <w:rFonts w:asciiTheme="majorHAnsi" w:hAnsiTheme="majorHAnsi"/>
                <w:sz w:val="20"/>
                <w:szCs w:val="20"/>
              </w:rPr>
              <w:t xml:space="preserve"> Continually increase finfish and shellfish habitat and water quality benefits from restored oyster populations. Restore native oyster habitat and populations in 10 tributaries by 2025 and ensure their protection. Learn more about this </w:t>
            </w:r>
            <w:hyperlink r:id="rId10"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Forage Fish Outcome:</w:t>
            </w:r>
            <w:r w:rsidRPr="00792BD3">
              <w:rPr>
                <w:rFonts w:asciiTheme="majorHAnsi" w:hAnsiTheme="majorHAnsi"/>
                <w:sz w:val="20"/>
                <w:szCs w:val="20"/>
              </w:rPr>
              <w:t xml:space="preserve"> Continually improve the Partnership’s capacity to understand the role of forage fish populations in the Chesapeake Bay. By 2016, develop a strategy for assessing the forage fish base available as food for predatory species in the Chesapeake Bay. Learn more about this </w:t>
            </w:r>
            <w:hyperlink r:id="rId11"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Fish Habitat Outcome:</w:t>
            </w:r>
            <w:r w:rsidRPr="00792BD3">
              <w:rPr>
                <w:rFonts w:asciiTheme="majorHAnsi" w:hAnsiTheme="majorHAnsi"/>
                <w:sz w:val="20"/>
                <w:szCs w:val="20"/>
              </w:rPr>
              <w:t xml:space="preserve"> Continually improve effectiveness of fish habitat conservation and restoration efforts by identifying and characterizing critical spawning, nursery and forage areas within the Bay and tributaries for important fish and shellfish, and use existing and new tools to integrate information and conduct assessments to inform restoration and conservation efforts. Learn more about this </w:t>
            </w:r>
            <w:hyperlink r:id="rId12"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13" w:history="1">
              <w:r w:rsidR="00DD4B85" w:rsidRPr="00236ED9">
                <w:rPr>
                  <w:rStyle w:val="Hyperlink"/>
                  <w:b/>
                  <w:bCs/>
                  <w:u w:val="none"/>
                </w:rPr>
                <w:t>Vital Habitats</w:t>
              </w:r>
            </w:hyperlink>
            <w:r w:rsidR="00DD4B85">
              <w:t xml:space="preserve">: </w:t>
            </w:r>
            <w:r w:rsidR="00DD4B85" w:rsidRPr="00236ED9">
              <w:t xml:space="preserve">Restore, enhance and protect a network of land and water habitats to support fish and wildlife and to afford other public benefits, </w:t>
            </w:r>
            <w:r w:rsidR="00F36D29">
              <w:t>i</w:t>
            </w:r>
            <w:r w:rsidR="00DD4B85" w:rsidRPr="00236ED9">
              <w:t>ncluding water quality, recreational uses and scenic value across the watershed.</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Wetlands Outcome:</w:t>
            </w:r>
            <w:r w:rsidRPr="00792BD3">
              <w:rPr>
                <w:rFonts w:asciiTheme="majorHAnsi" w:hAnsiTheme="majorHAnsi"/>
                <w:sz w:val="20"/>
                <w:szCs w:val="20"/>
              </w:rPr>
              <w:t xml:space="preserve"> Continually increase the capacity of wetlands to provide water quality and habitat benefits throughout the watershed. Create or reestablish 85,000 acres of tidal and non-tidal wetlands and enhance function of an additional 150,000 acres of degraded wetlands by 2025. These activities may occur in any land use (including urban), but primarily occur in agricultural or natural landscapes. Learn more about this </w:t>
            </w:r>
            <w:hyperlink r:id="rId14"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Black Duck Outcome:</w:t>
            </w:r>
            <w:r w:rsidRPr="00792BD3">
              <w:rPr>
                <w:rFonts w:asciiTheme="majorHAnsi" w:hAnsiTheme="majorHAnsi"/>
                <w:sz w:val="20"/>
                <w:szCs w:val="20"/>
              </w:rPr>
              <w:t xml:space="preserve"> By 2025, restore, enhance and preserve wetland habitats that support a wintering population of 100,000 black ducks, a species representative of the health of tidal marshes across the watershed. Refine population targets through 2025 based on best available science. Learn more about this </w:t>
            </w:r>
            <w:hyperlink r:id="rId15"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Stream Health Outcome:</w:t>
            </w:r>
            <w:r w:rsidRPr="00792BD3">
              <w:rPr>
                <w:rFonts w:asciiTheme="majorHAnsi" w:hAnsiTheme="majorHAnsi"/>
                <w:sz w:val="20"/>
                <w:szCs w:val="20"/>
              </w:rPr>
              <w:t xml:space="preserve"> Continually improve stream health and function throughout the watershed. Improve health and function of ten percent of stream miles above the 2008 baseline for the watershed. Learn more about this </w:t>
            </w:r>
            <w:hyperlink r:id="rId16"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Brook Trout Outcome:</w:t>
            </w:r>
            <w:r w:rsidRPr="00792BD3">
              <w:rPr>
                <w:rFonts w:asciiTheme="majorHAnsi" w:hAnsiTheme="majorHAnsi"/>
                <w:sz w:val="20"/>
                <w:szCs w:val="20"/>
              </w:rPr>
              <w:t xml:space="preserve"> Restore and sustain naturally reproducing brook trout populations in Chesapeake headwater streams with an eight percent increase in occupied habitat by 2025. Learn more about this </w:t>
            </w:r>
            <w:hyperlink r:id="rId17"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47DC1" w:rsidRPr="00236ED9" w:rsidRDefault="00247DC1"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Fish Passage Outcome:</w:t>
            </w:r>
            <w:r w:rsidRPr="00792BD3">
              <w:rPr>
                <w:rFonts w:asciiTheme="majorHAnsi" w:hAnsiTheme="majorHAnsi"/>
                <w:sz w:val="20"/>
                <w:szCs w:val="20"/>
              </w:rPr>
              <w:t xml:space="preserve"> Continually increase available habitat to support sustainable migratory fish populations in Chesapeake Bay freshwater rivers and streams. By 2025, restore historical fish migratory routes by opening 1,000 additional stream miles, with restoration success indicated by the consistent presence of alewife, blueback herring, American shad, hickory shad, American eel and brook trout, to be monitored in accordance with available agency resources and collaboratively developed methods. Learn more about this </w:t>
            </w:r>
            <w:hyperlink r:id="rId18"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Submerged Aquatic Vegetation (SAV) Outcome:</w:t>
            </w:r>
            <w:r w:rsidRPr="00792BD3">
              <w:rPr>
                <w:rFonts w:asciiTheme="majorHAnsi" w:hAnsiTheme="majorHAnsi"/>
                <w:sz w:val="20"/>
                <w:szCs w:val="20"/>
              </w:rPr>
              <w:t xml:space="preserve"> Sustain and increase the habitat benefits of submerged aquatic vegetation (SAV) in the Bay. Achieve and sustain the ultimate outcome of 185,000 acres of SAV Bay-wide necessary for a restored Bay. Progress toward this ultimate outcome will be measured against a target of 90,000 acres by 2017 and 130,000 acres by 2025. Learn more about this </w:t>
            </w:r>
            <w:hyperlink r:id="rId19"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Forest Buffer Outcome:</w:t>
            </w:r>
            <w:r w:rsidRPr="00792BD3">
              <w:rPr>
                <w:rFonts w:asciiTheme="majorHAnsi" w:hAnsiTheme="majorHAnsi"/>
                <w:sz w:val="20"/>
                <w:szCs w:val="20"/>
              </w:rPr>
              <w:t xml:space="preserve"> Continually increase the capacity of forest buffers to provide water quality and habitat benefits throughout the watershed. Restore 900 miles per year of riparian forest buffer and conserve existing buffers until at least 70 percent of riparian areas throughout the watershed are forested. Learn more about this </w:t>
            </w:r>
            <w:hyperlink r:id="rId20"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Tree Canopy Outcome:</w:t>
            </w:r>
            <w:r w:rsidRPr="00792BD3">
              <w:rPr>
                <w:rFonts w:asciiTheme="majorHAnsi" w:hAnsiTheme="majorHAnsi"/>
                <w:sz w:val="20"/>
                <w:szCs w:val="20"/>
              </w:rPr>
              <w:t xml:space="preserve"> Continually increase urban tree canopy capacity to provide air quality, water quality and habitat benefits throughout the watershed. Expand urban tree canopy by 2,400 acres by 2025. Learn more about this </w:t>
            </w:r>
            <w:hyperlink r:id="rId21"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22" w:history="1">
              <w:r w:rsidR="00DD4B85" w:rsidRPr="00236ED9">
                <w:rPr>
                  <w:rStyle w:val="Hyperlink"/>
                  <w:b/>
                  <w:bCs/>
                  <w:u w:val="none"/>
                </w:rPr>
                <w:t>Water Quality</w:t>
              </w:r>
            </w:hyperlink>
            <w:r w:rsidR="00DD4B85">
              <w:t xml:space="preserve">: </w:t>
            </w:r>
            <w:r w:rsidR="00DD4B85" w:rsidRPr="00236ED9">
              <w:t>Reduce pollutants to achieve the water quality necessary to support the aquatic living resources of the Bay and its tributaries and protect human health.</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2017 Watershed Implementation Plans (WIP) Outcome:</w:t>
            </w:r>
            <w:r w:rsidRPr="00792BD3">
              <w:rPr>
                <w:rFonts w:asciiTheme="majorHAnsi" w:hAnsiTheme="majorHAnsi"/>
                <w:sz w:val="20"/>
                <w:szCs w:val="20"/>
              </w:rPr>
              <w:t xml:space="preserve"> By 2017, have practices and controls in place that are expected to achieve 60 percent of the nutrient and sediment pollution load reductions necessary to achieve applicable water quality standards compared to 2009 levels. Learn more about this </w:t>
            </w:r>
            <w:hyperlink r:id="rId23"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2025 Watershed Implementation Plans (WIP) Outcome:</w:t>
            </w:r>
            <w:r w:rsidRPr="00792BD3">
              <w:rPr>
                <w:rFonts w:asciiTheme="majorHAnsi" w:hAnsiTheme="majorHAnsi"/>
                <w:sz w:val="20"/>
                <w:szCs w:val="20"/>
              </w:rPr>
              <w:t xml:space="preserve"> By 2025, have all practices and controls installed to achieve the Bay’s dissolved oxygen, water clarity/submerged aquatic vegetation and chlorophyll a standards as articulated in the Chesapeake Bay TMDL document. Learn more about this </w:t>
            </w:r>
            <w:hyperlink r:id="rId24"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Water Quality Standards Attainment and Monitoring Outcome:</w:t>
            </w:r>
            <w:r w:rsidRPr="00792BD3">
              <w:rPr>
                <w:rFonts w:asciiTheme="majorHAnsi" w:hAnsiTheme="majorHAnsi"/>
                <w:sz w:val="20"/>
                <w:szCs w:val="20"/>
              </w:rPr>
              <w:t xml:space="preserve"> Continually improve the capacity to monitor and assess the effects of management actions being undertaken to implement the Bay TMDL and improve water quality. Use the monitoring results to report annually to the public on progress made in attaining established Bay water-quality standards and trends in reducing nutrients and sediment in the watershed. Learn more about this </w:t>
            </w:r>
            <w:hyperlink r:id="rId25"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26" w:history="1">
              <w:r w:rsidR="00DD4B85" w:rsidRPr="00236ED9">
                <w:rPr>
                  <w:rStyle w:val="Hyperlink"/>
                  <w:b/>
                  <w:bCs/>
                  <w:u w:val="none"/>
                </w:rPr>
                <w:t>Toxic Contaminants</w:t>
              </w:r>
            </w:hyperlink>
            <w:r w:rsidR="00DD4B85">
              <w:t xml:space="preserve">: </w:t>
            </w:r>
            <w:r w:rsidR="00DD4B85" w:rsidRPr="00236ED9">
              <w:t>Ensure that the Bay and its rivers are free of effects of toxic contaminants on living resources and human health.</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Toxic Contaminants Research Outcome:</w:t>
            </w:r>
            <w:r w:rsidRPr="00792BD3">
              <w:rPr>
                <w:rFonts w:asciiTheme="majorHAnsi" w:hAnsiTheme="majorHAnsi"/>
                <w:sz w:val="20"/>
                <w:szCs w:val="20"/>
              </w:rPr>
              <w:t xml:space="preserve"> Continually increase our understanding of the impacts and mitigation options for toxic contaminants. Develop a research agenda and further characterize the occurrence, concentrations, sources and effects of mercury, PCBs and other contaminants of emerging and widespread concern. In addition, identify which best management practices might provide multiple benefits of reducing nutrient and sediment pollution as well as toxic contaminants in waterways. Learn more about this </w:t>
            </w:r>
            <w:hyperlink r:id="rId27"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16DD2" w:rsidRPr="007B45E7" w:rsidTr="00247DC1">
        <w:trPr>
          <w:cantSplit/>
        </w:trPr>
        <w:tc>
          <w:tcPr>
            <w:tcW w:w="1751" w:type="dxa"/>
          </w:tcPr>
          <w:p w:rsidR="00216DD2" w:rsidRPr="00236ED9" w:rsidRDefault="00216DD2" w:rsidP="00216DD2">
            <w:pPr>
              <w:spacing w:before="195" w:after="195" w:line="360" w:lineRule="atLeast"/>
              <w:rPr>
                <w:color w:val="636363"/>
              </w:rPr>
            </w:pPr>
          </w:p>
        </w:tc>
        <w:tc>
          <w:tcPr>
            <w:tcW w:w="11654" w:type="dxa"/>
          </w:tcPr>
          <w:p w:rsidR="00216DD2" w:rsidRPr="00236ED9" w:rsidRDefault="00216DD2" w:rsidP="00236ED9">
            <w:pPr>
              <w:rPr>
                <w:rFonts w:asciiTheme="majorHAnsi" w:hAnsiTheme="majorHAnsi"/>
                <w:color w:val="636363"/>
                <w:sz w:val="20"/>
                <w:szCs w:val="20"/>
              </w:rPr>
            </w:pPr>
            <w:r w:rsidRPr="00792BD3">
              <w:rPr>
                <w:rStyle w:val="Strong"/>
                <w:rFonts w:asciiTheme="majorHAnsi" w:hAnsiTheme="majorHAnsi"/>
                <w:sz w:val="20"/>
                <w:szCs w:val="20"/>
              </w:rPr>
              <w:t>Toxic Contaminants Policy and Prevention Outcome:</w:t>
            </w:r>
            <w:r w:rsidRPr="00792BD3">
              <w:rPr>
                <w:rFonts w:asciiTheme="majorHAnsi" w:hAnsiTheme="majorHAnsi"/>
                <w:sz w:val="20"/>
                <w:szCs w:val="20"/>
              </w:rPr>
              <w:t xml:space="preserve"> Continually improve practices and controls that reduce and prevent the effects of toxic contaminants below levels that harm aquatic systems and humans. Build on existing programs to reduce the amount and effects of PCBs in the Bay and watershed. Use research findings to evaluate the implementation of additional policies, programs and practices for other contaminants that need to be further reduced or eliminated. Learn more about this </w:t>
            </w:r>
            <w:hyperlink r:id="rId28"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bl>
    <w:p w:rsidR="00EB7046" w:rsidRDefault="00EB7046">
      <w:r>
        <w:br w:type="page"/>
      </w:r>
    </w:p>
    <w:tbl>
      <w:tblPr>
        <w:tblStyle w:val="TableGrid"/>
        <w:tblW w:w="13405" w:type="dxa"/>
        <w:tblLook w:val="04A0" w:firstRow="1" w:lastRow="0" w:firstColumn="1" w:lastColumn="0" w:noHBand="0" w:noVBand="1"/>
      </w:tblPr>
      <w:tblGrid>
        <w:gridCol w:w="1751"/>
        <w:gridCol w:w="11654"/>
      </w:tblGrid>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29" w:history="1">
              <w:r w:rsidR="00DD4B85" w:rsidRPr="00236ED9">
                <w:rPr>
                  <w:rStyle w:val="Hyperlink"/>
                  <w:b/>
                  <w:bCs/>
                  <w:u w:val="none"/>
                </w:rPr>
                <w:t>Healthy Watersheds</w:t>
              </w:r>
            </w:hyperlink>
            <w:r w:rsidR="00DD4B85">
              <w:t xml:space="preserve">: </w:t>
            </w:r>
            <w:r w:rsidR="00DD4B85" w:rsidRPr="00236ED9">
              <w:t>Sustain state-identified healthy waters and watersheds, recognized for their high quality and/or high ecological value.</w:t>
            </w:r>
          </w:p>
        </w:tc>
      </w:tr>
      <w:tr w:rsidR="00236ED9" w:rsidRPr="007B45E7" w:rsidTr="00247DC1">
        <w:trPr>
          <w:cantSplit/>
        </w:trPr>
        <w:tc>
          <w:tcPr>
            <w:tcW w:w="1751" w:type="dxa"/>
          </w:tcPr>
          <w:p w:rsidR="00236ED9" w:rsidRPr="00236ED9" w:rsidRDefault="00236ED9" w:rsidP="00236ED9"/>
        </w:tc>
        <w:tc>
          <w:tcPr>
            <w:tcW w:w="11654" w:type="dxa"/>
          </w:tcPr>
          <w:p w:rsidR="00236ED9" w:rsidRPr="00236ED9" w:rsidRDefault="00236ED9" w:rsidP="00236ED9">
            <w:pPr>
              <w:rPr>
                <w:rFonts w:asciiTheme="majorHAnsi" w:hAnsiTheme="majorHAnsi"/>
                <w:sz w:val="20"/>
                <w:szCs w:val="20"/>
              </w:rPr>
            </w:pPr>
            <w:r w:rsidRPr="00236ED9">
              <w:rPr>
                <w:rStyle w:val="Strong"/>
                <w:rFonts w:asciiTheme="majorHAnsi" w:hAnsiTheme="majorHAnsi"/>
                <w:sz w:val="20"/>
                <w:szCs w:val="20"/>
              </w:rPr>
              <w:t>Healthy Watersheds Outcome:</w:t>
            </w:r>
            <w:r w:rsidRPr="00236ED9">
              <w:rPr>
                <w:rFonts w:asciiTheme="majorHAnsi" w:hAnsiTheme="majorHAnsi"/>
                <w:sz w:val="20"/>
                <w:szCs w:val="20"/>
              </w:rPr>
              <w:t xml:space="preserve"> One-hundred percent of state-identified currently healthy waters and watersheds remain healthy. Learn more about this </w:t>
            </w:r>
            <w:hyperlink r:id="rId30" w:history="1">
              <w:r w:rsidRPr="00236ED9">
                <w:rPr>
                  <w:rStyle w:val="Hyperlink"/>
                  <w:rFonts w:asciiTheme="majorHAnsi" w:hAnsiTheme="majorHAnsi"/>
                  <w:sz w:val="20"/>
                  <w:szCs w:val="20"/>
                </w:rPr>
                <w:t>outcome</w:t>
              </w:r>
            </w:hyperlink>
            <w:r w:rsidRPr="00236ED9">
              <w:rPr>
                <w:rFonts w:asciiTheme="majorHAnsi" w:hAnsiTheme="majorHAnsi"/>
                <w:sz w:val="20"/>
                <w:szCs w:val="20"/>
              </w:rPr>
              <w:t>.</w:t>
            </w:r>
          </w:p>
        </w:tc>
      </w:tr>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31" w:history="1">
              <w:r w:rsidR="00DD4B85" w:rsidRPr="00236ED9">
                <w:rPr>
                  <w:rStyle w:val="Hyperlink"/>
                  <w:b/>
                  <w:bCs/>
                  <w:u w:val="none"/>
                </w:rPr>
                <w:t>Stewardship</w:t>
              </w:r>
            </w:hyperlink>
            <w:r w:rsidR="00DD4B85">
              <w:t xml:space="preserve">: </w:t>
            </w:r>
            <w:r w:rsidR="00DD4B85" w:rsidRPr="00236ED9">
              <w:t>Increase the number and diversity of local citizen stewards and local governments that actively support and carry out the conservation and restoration activities that achieve healthy local streams, rivers and a vibrant Chesapeake Bay.</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Citizen Stewardship Outcome:</w:t>
            </w:r>
            <w:r w:rsidRPr="00F36D29">
              <w:rPr>
                <w:rFonts w:asciiTheme="majorHAnsi" w:hAnsiTheme="majorHAnsi"/>
                <w:sz w:val="20"/>
                <w:szCs w:val="20"/>
              </w:rPr>
              <w:t xml:space="preserve"> Increase the number and diversity of trained and mobilized citizen volunteers with the knowledge and skills needed to enhance the health of their local watersheds. Learn more about this </w:t>
            </w:r>
            <w:hyperlink r:id="rId32"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Local Leadership Outcome:</w:t>
            </w:r>
            <w:r w:rsidRPr="00F36D29">
              <w:rPr>
                <w:rFonts w:asciiTheme="majorHAnsi" w:hAnsiTheme="majorHAnsi"/>
                <w:sz w:val="20"/>
                <w:szCs w:val="20"/>
              </w:rPr>
              <w:t xml:space="preserve"> Continually increase the knowledge and capacity of local officials on issues related to water resources and in the implementation of economic and policy incentives that will support local conservation actions. Learn more about this </w:t>
            </w:r>
            <w:hyperlink r:id="rId33"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Diversity Outcome:</w:t>
            </w:r>
            <w:r w:rsidRPr="00F36D29">
              <w:rPr>
                <w:rFonts w:asciiTheme="majorHAnsi" w:hAnsiTheme="majorHAnsi"/>
                <w:sz w:val="20"/>
                <w:szCs w:val="20"/>
              </w:rPr>
              <w:t xml:space="preserve"> Identify minority stakeholder groups that are not currently represented in the leadership, decision making and implementation of current conservation and restoration activities and create meaningful opportunities and programs to recruit and engage them in the Partnership’s efforts. Learn more about this </w:t>
            </w:r>
            <w:hyperlink r:id="rId34"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35" w:history="1">
              <w:r w:rsidR="00DD4B85" w:rsidRPr="00236ED9">
                <w:rPr>
                  <w:rStyle w:val="Hyperlink"/>
                  <w:b/>
                  <w:bCs/>
                  <w:u w:val="none"/>
                </w:rPr>
                <w:t>Land Conservation</w:t>
              </w:r>
            </w:hyperlink>
            <w:r w:rsidR="00DD4B85">
              <w:t xml:space="preserve">: </w:t>
            </w:r>
            <w:r w:rsidR="00DD4B85" w:rsidRPr="00236ED9">
              <w:t>Conserve landscapes treasured by citizens in order to maintain water quality and habitat; sustain working forests, farms and maritime communities; and conserve lands of cultural, indigenous and community value.</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Protected Lands Outcome:</w:t>
            </w:r>
            <w:r w:rsidRPr="00F36D29">
              <w:rPr>
                <w:rFonts w:asciiTheme="majorHAnsi" w:hAnsiTheme="majorHAnsi"/>
                <w:sz w:val="20"/>
                <w:szCs w:val="20"/>
              </w:rPr>
              <w:t xml:space="preserve"> By 2025, protect an additional two million acres of lands throughout the watershed—currently identified as high-conservation priorities at the federal, state or local level—including 225,000 acres of wetlands and 695,000 acres of forest land of highest value for maintaining water quality. Learn more about this </w:t>
            </w:r>
            <w:hyperlink r:id="rId36"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Land Use Methods and Metrics Development Outcome:</w:t>
            </w:r>
            <w:r w:rsidRPr="00F36D29">
              <w:rPr>
                <w:rFonts w:asciiTheme="majorHAnsi" w:hAnsiTheme="majorHAnsi"/>
                <w:sz w:val="20"/>
                <w:szCs w:val="20"/>
              </w:rPr>
              <w:t xml:space="preserve"> Continually improve the knowledge of land conversion and the associated impacts throughout the watershed. By 2016, develop a watershed-wide methodology and local-level metrics for characterizing the rate of farmland, forest and wetland conversion, measuring the extent and rate of change in impervious surface coverage and quantifying the potential impacts of land conversion to water quality, healthy watersheds and communities. Launch a public awareness campaign to share this information with local governments, elected officials and stakeholders. Learn more about this </w:t>
            </w:r>
            <w:hyperlink r:id="rId37"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Land Use Options Evaluation Outcome:</w:t>
            </w:r>
            <w:r w:rsidRPr="00F36D29">
              <w:rPr>
                <w:rFonts w:asciiTheme="majorHAnsi" w:hAnsiTheme="majorHAnsi"/>
                <w:sz w:val="20"/>
                <w:szCs w:val="20"/>
              </w:rPr>
              <w:t xml:space="preserve"> By the end of 2017, with the direct involvement of local governments or their representatives, evaluate policy options, incentives and planning tools that could assist them in continually improving their capacity to the reduce the rate of conversion of agricultural lands, forests and wetlands as well as the rate of changing landscapes from more natural lands that soak up pollutants to those that are paved over, hardscaped or otherwise impervious. Strategies should be developed for supporting local governments’ and others’ efforts in reducing these rates by 2025 and beyond. Learn more about this </w:t>
            </w:r>
            <w:hyperlink r:id="rId38"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bl>
    <w:p w:rsidR="00F36D29" w:rsidRDefault="00F36D29">
      <w:r>
        <w:br w:type="page"/>
      </w:r>
    </w:p>
    <w:tbl>
      <w:tblPr>
        <w:tblStyle w:val="TableGrid"/>
        <w:tblW w:w="13405" w:type="dxa"/>
        <w:tblLook w:val="04A0" w:firstRow="1" w:lastRow="0" w:firstColumn="1" w:lastColumn="0" w:noHBand="0" w:noVBand="1"/>
      </w:tblPr>
      <w:tblGrid>
        <w:gridCol w:w="1751"/>
        <w:gridCol w:w="11654"/>
      </w:tblGrid>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39" w:history="1">
              <w:r w:rsidR="00DD4B85" w:rsidRPr="00236ED9">
                <w:rPr>
                  <w:rStyle w:val="Hyperlink"/>
                  <w:b/>
                  <w:bCs/>
                  <w:u w:val="none"/>
                </w:rPr>
                <w:t>Public Access</w:t>
              </w:r>
            </w:hyperlink>
            <w:r w:rsidR="00DD4B85">
              <w:t xml:space="preserve">: </w:t>
            </w:r>
            <w:r w:rsidR="00DD4B85" w:rsidRPr="00236ED9">
              <w:t>Expand public access to the Bay and its tributaries through existing and new local, state and federal parks, refuges, reserves, trails and partner sites.</w:t>
            </w:r>
          </w:p>
        </w:tc>
      </w:tr>
      <w:tr w:rsidR="00236ED9" w:rsidRPr="007B45E7" w:rsidTr="00247DC1">
        <w:trPr>
          <w:cantSplit/>
        </w:trPr>
        <w:tc>
          <w:tcPr>
            <w:tcW w:w="1751" w:type="dxa"/>
          </w:tcPr>
          <w:p w:rsidR="00236ED9" w:rsidRPr="00236ED9" w:rsidRDefault="00236ED9" w:rsidP="00236ED9"/>
        </w:tc>
        <w:tc>
          <w:tcPr>
            <w:tcW w:w="11654" w:type="dxa"/>
          </w:tcPr>
          <w:p w:rsidR="00236ED9" w:rsidRPr="00236ED9" w:rsidRDefault="00236ED9" w:rsidP="00236ED9">
            <w:pPr>
              <w:rPr>
                <w:rFonts w:asciiTheme="majorHAnsi" w:hAnsiTheme="majorHAnsi"/>
                <w:sz w:val="20"/>
                <w:szCs w:val="20"/>
              </w:rPr>
            </w:pPr>
            <w:r w:rsidRPr="00236ED9">
              <w:rPr>
                <w:rStyle w:val="Strong"/>
                <w:rFonts w:asciiTheme="majorHAnsi" w:hAnsiTheme="majorHAnsi"/>
                <w:sz w:val="20"/>
                <w:szCs w:val="20"/>
              </w:rPr>
              <w:t>Public Access Site Development Outcome:</w:t>
            </w:r>
            <w:r w:rsidRPr="00236ED9">
              <w:rPr>
                <w:rFonts w:asciiTheme="majorHAnsi" w:hAnsiTheme="majorHAnsi"/>
                <w:sz w:val="20"/>
                <w:szCs w:val="20"/>
              </w:rPr>
              <w:t xml:space="preserve"> By 2025, add 300 new public access sites, with a strong emphasis on providing opportunities for boating, swimming and fishing, where feasible. Learn more about this </w:t>
            </w:r>
            <w:hyperlink r:id="rId40" w:history="1">
              <w:r w:rsidRPr="00236ED9">
                <w:rPr>
                  <w:rStyle w:val="Hyperlink"/>
                  <w:rFonts w:asciiTheme="majorHAnsi" w:hAnsiTheme="majorHAnsi"/>
                  <w:sz w:val="20"/>
                  <w:szCs w:val="20"/>
                </w:rPr>
                <w:t>outcome</w:t>
              </w:r>
            </w:hyperlink>
            <w:r w:rsidRPr="00236ED9">
              <w:rPr>
                <w:rFonts w:asciiTheme="majorHAnsi" w:hAnsiTheme="majorHAnsi"/>
                <w:sz w:val="20"/>
                <w:szCs w:val="20"/>
              </w:rPr>
              <w:t>.</w:t>
            </w:r>
          </w:p>
        </w:tc>
      </w:tr>
      <w:tr w:rsidR="00DD4B85" w:rsidRPr="007B45E7" w:rsidTr="00247DC1">
        <w:trPr>
          <w:cantSplit/>
        </w:trPr>
        <w:tc>
          <w:tcPr>
            <w:tcW w:w="13405" w:type="dxa"/>
            <w:gridSpan w:val="2"/>
          </w:tcPr>
          <w:p w:rsidR="00DD4B85" w:rsidRPr="00236ED9" w:rsidRDefault="00EB7046" w:rsidP="00F36D29">
            <w:pPr>
              <w:spacing w:before="120" w:after="120"/>
              <w:rPr>
                <w:rFonts w:asciiTheme="majorHAnsi" w:hAnsiTheme="majorHAnsi"/>
                <w:b/>
                <w:bCs/>
                <w:sz w:val="20"/>
                <w:szCs w:val="20"/>
              </w:rPr>
            </w:pPr>
            <w:r>
              <w:br w:type="page"/>
            </w:r>
            <w:hyperlink r:id="rId41" w:history="1">
              <w:r w:rsidR="00DD4B85" w:rsidRPr="00236ED9">
                <w:rPr>
                  <w:rStyle w:val="Hyperlink"/>
                  <w:b/>
                  <w:bCs/>
                  <w:u w:val="none"/>
                </w:rPr>
                <w:t>Environmental Literacy</w:t>
              </w:r>
            </w:hyperlink>
            <w:r w:rsidR="00DD4B85">
              <w:t xml:space="preserve">: </w:t>
            </w:r>
            <w:r w:rsidR="00DD4B85" w:rsidRPr="00236ED9">
              <w:t>Enable students in the region to graduate with the knowledge and skills to act responsibly to protect and restore their local watershed.</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Student Outcome:</w:t>
            </w:r>
            <w:r w:rsidRPr="00F36D29">
              <w:rPr>
                <w:rFonts w:asciiTheme="majorHAnsi" w:hAnsiTheme="majorHAnsi"/>
                <w:sz w:val="20"/>
                <w:szCs w:val="20"/>
              </w:rPr>
              <w:t xml:space="preserve"> Continually increase students’ age-appropriate understanding of the watershed through participation in teacher-supported, meaningful watershed educational experiences and rigorous, inquiry-based instruction, with a target of at least one meaningful watershed educational experience in elementary, middle and high school depending on available resources. Learn more about this </w:t>
            </w:r>
            <w:hyperlink r:id="rId42"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Sustainable Schools Outcome:</w:t>
            </w:r>
            <w:r w:rsidRPr="00F36D29">
              <w:rPr>
                <w:rFonts w:asciiTheme="majorHAnsi" w:hAnsiTheme="majorHAnsi"/>
                <w:sz w:val="20"/>
                <w:szCs w:val="20"/>
              </w:rPr>
              <w:t xml:space="preserve"> Continually increase the number of schools in the region that reduce the impact of their buildings and grounds on their local watershed, environment and human health through best practices, including student-led protection and restoration projects. Learn more about this </w:t>
            </w:r>
            <w:hyperlink r:id="rId43"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Environmental Literacy Planning Outcome:</w:t>
            </w:r>
            <w:r w:rsidRPr="00F36D29">
              <w:rPr>
                <w:rFonts w:asciiTheme="majorHAnsi" w:hAnsiTheme="majorHAnsi"/>
                <w:sz w:val="20"/>
                <w:szCs w:val="20"/>
              </w:rPr>
              <w:t xml:space="preserve"> Each participating Bay jurisdiction should develop a comprehensive and systemic approach to environmental literacy for all students in the region that includes policies, practices and voluntary metrics that support the environmental literacy Goals and Outcomes of this Agreement. Learn more about this </w:t>
            </w:r>
            <w:hyperlink r:id="rId44"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DD4B85" w:rsidRPr="007B45E7" w:rsidTr="00247DC1">
        <w:trPr>
          <w:cantSplit/>
        </w:trPr>
        <w:tc>
          <w:tcPr>
            <w:tcW w:w="13405" w:type="dxa"/>
            <w:gridSpan w:val="2"/>
          </w:tcPr>
          <w:p w:rsidR="00DD4B85" w:rsidRPr="00236ED9" w:rsidRDefault="00C878B0" w:rsidP="00F36D29">
            <w:pPr>
              <w:spacing w:before="120" w:after="120"/>
              <w:rPr>
                <w:rFonts w:asciiTheme="majorHAnsi" w:hAnsiTheme="majorHAnsi"/>
                <w:b/>
                <w:bCs/>
                <w:sz w:val="20"/>
                <w:szCs w:val="20"/>
              </w:rPr>
            </w:pPr>
            <w:hyperlink r:id="rId45" w:history="1">
              <w:r w:rsidR="00DD4B85" w:rsidRPr="00236ED9">
                <w:rPr>
                  <w:rStyle w:val="Hyperlink"/>
                  <w:b/>
                  <w:bCs/>
                  <w:u w:val="none"/>
                </w:rPr>
                <w:t>Climate Resiliency</w:t>
              </w:r>
            </w:hyperlink>
            <w:r w:rsidR="00DD4B85">
              <w:t xml:space="preserve">: </w:t>
            </w:r>
            <w:r w:rsidR="00DD4B85" w:rsidRPr="00236ED9">
              <w:t>Increase the resiliency of the Chesapeake Bay watershed, including its living resources, habitats, public infrastructure and communities, to withstand adverse impacts from changing environmental and climate conditions.</w:t>
            </w:r>
            <w:r w:rsidR="00DD4B85">
              <w:t xml:space="preserve"> </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Monitoring and Assessment Outcome:</w:t>
            </w:r>
            <w:r w:rsidRPr="00F36D29">
              <w:rPr>
                <w:rFonts w:asciiTheme="majorHAnsi" w:hAnsiTheme="majorHAnsi"/>
                <w:sz w:val="20"/>
                <w:szCs w:val="20"/>
              </w:rPr>
              <w:t xml:space="preserve"> Continually monitor and assess the trends and likely impacts of changing climatic and sea level conditions on the Chesapeake Bay ecosystem, including the effectiveness of restoration and protection policies, programs and projects. Learn more about this </w:t>
            </w:r>
            <w:hyperlink r:id="rId46"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r w:rsidR="00236ED9" w:rsidRPr="007B45E7" w:rsidTr="00247DC1">
        <w:trPr>
          <w:cantSplit/>
        </w:trPr>
        <w:tc>
          <w:tcPr>
            <w:tcW w:w="1751" w:type="dxa"/>
          </w:tcPr>
          <w:p w:rsidR="00236ED9" w:rsidRPr="00236ED9" w:rsidRDefault="00236ED9" w:rsidP="00236ED9">
            <w:pPr>
              <w:spacing w:before="195" w:after="195" w:line="360" w:lineRule="atLeast"/>
              <w:rPr>
                <w:color w:val="636363"/>
              </w:rPr>
            </w:pPr>
          </w:p>
        </w:tc>
        <w:tc>
          <w:tcPr>
            <w:tcW w:w="11654" w:type="dxa"/>
          </w:tcPr>
          <w:p w:rsidR="00236ED9" w:rsidRPr="00236ED9" w:rsidRDefault="00236ED9" w:rsidP="00236ED9">
            <w:pPr>
              <w:rPr>
                <w:rFonts w:asciiTheme="majorHAnsi" w:hAnsiTheme="majorHAnsi"/>
                <w:color w:val="636363"/>
                <w:sz w:val="20"/>
                <w:szCs w:val="20"/>
              </w:rPr>
            </w:pPr>
            <w:r w:rsidRPr="00F36D29">
              <w:rPr>
                <w:rStyle w:val="Strong"/>
                <w:rFonts w:asciiTheme="majorHAnsi" w:hAnsiTheme="majorHAnsi"/>
                <w:sz w:val="20"/>
                <w:szCs w:val="20"/>
              </w:rPr>
              <w:t>Adaptation Outcome:</w:t>
            </w:r>
            <w:r w:rsidRPr="00F36D29">
              <w:rPr>
                <w:rFonts w:asciiTheme="majorHAnsi" w:hAnsiTheme="majorHAnsi"/>
                <w:sz w:val="20"/>
                <w:szCs w:val="20"/>
              </w:rPr>
              <w:t xml:space="preserve"> Continually pursue, design, and construct restoration and protection projects to enhance the resiliency of Bay and aquatic ecosystems from the impacts of coastal erosion, coastal flooding, more intense and more frequent storms and sea-level rise. Learn more about this </w:t>
            </w:r>
            <w:hyperlink r:id="rId47" w:history="1">
              <w:r w:rsidRPr="00236ED9">
                <w:rPr>
                  <w:rStyle w:val="Hyperlink"/>
                  <w:rFonts w:asciiTheme="majorHAnsi" w:hAnsiTheme="majorHAnsi"/>
                  <w:sz w:val="20"/>
                  <w:szCs w:val="20"/>
                </w:rPr>
                <w:t>outcome</w:t>
              </w:r>
            </w:hyperlink>
            <w:r w:rsidRPr="00236ED9">
              <w:rPr>
                <w:rFonts w:asciiTheme="majorHAnsi" w:hAnsiTheme="majorHAnsi"/>
                <w:color w:val="636363"/>
                <w:sz w:val="20"/>
                <w:szCs w:val="20"/>
              </w:rPr>
              <w:t>.</w:t>
            </w:r>
          </w:p>
        </w:tc>
      </w:tr>
    </w:tbl>
    <w:p w:rsidR="00F31F71" w:rsidRPr="003B23EC" w:rsidRDefault="00F31F71" w:rsidP="007B45E7"/>
    <w:sectPr w:rsidR="00F31F71" w:rsidRPr="003B23EC" w:rsidSect="0068749B">
      <w:footerReference w:type="default" r:id="rId48"/>
      <w:headerReference w:type="first" r:id="rId49"/>
      <w:footerReference w:type="first" r:id="rId5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5C" w:rsidRDefault="00392E5C" w:rsidP="0068749B">
      <w:pPr>
        <w:spacing w:after="0" w:line="240" w:lineRule="auto"/>
      </w:pPr>
      <w:r>
        <w:separator/>
      </w:r>
    </w:p>
  </w:endnote>
  <w:endnote w:type="continuationSeparator" w:id="0">
    <w:p w:rsidR="00392E5C" w:rsidRDefault="00392E5C" w:rsidP="00687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2126683786"/>
      <w:docPartObj>
        <w:docPartGallery w:val="Page Numbers (Bottom of Page)"/>
        <w:docPartUnique/>
      </w:docPartObj>
    </w:sdtPr>
    <w:sdtEndPr/>
    <w:sdtContent>
      <w:sdt>
        <w:sdtPr>
          <w:rPr>
            <w:rFonts w:asciiTheme="majorHAnsi" w:hAnsiTheme="majorHAnsi"/>
          </w:rPr>
          <w:id w:val="-1410231020"/>
          <w:docPartObj>
            <w:docPartGallery w:val="Page Numbers (Top of Page)"/>
            <w:docPartUnique/>
          </w:docPartObj>
        </w:sdtPr>
        <w:sdtEndPr/>
        <w:sdtContent>
          <w:p w:rsidR="0068749B" w:rsidRPr="0068749B" w:rsidRDefault="0068749B">
            <w:pPr>
              <w:pStyle w:val="Footer"/>
              <w:jc w:val="center"/>
              <w:rPr>
                <w:rFonts w:asciiTheme="majorHAnsi" w:hAnsiTheme="majorHAnsi"/>
              </w:rPr>
            </w:pPr>
            <w:r w:rsidRPr="0068749B">
              <w:rPr>
                <w:rFonts w:asciiTheme="majorHAnsi" w:hAnsiTheme="majorHAnsi"/>
              </w:rPr>
              <w:t xml:space="preserve">Page </w:t>
            </w:r>
            <w:r w:rsidRPr="0068749B">
              <w:rPr>
                <w:rFonts w:asciiTheme="majorHAnsi" w:hAnsiTheme="majorHAnsi"/>
                <w:bCs/>
              </w:rPr>
              <w:fldChar w:fldCharType="begin"/>
            </w:r>
            <w:r w:rsidRPr="0068749B">
              <w:rPr>
                <w:rFonts w:asciiTheme="majorHAnsi" w:hAnsiTheme="majorHAnsi"/>
                <w:bCs/>
              </w:rPr>
              <w:instrText xml:space="preserve"> PAGE </w:instrText>
            </w:r>
            <w:r w:rsidRPr="0068749B">
              <w:rPr>
                <w:rFonts w:asciiTheme="majorHAnsi" w:hAnsiTheme="majorHAnsi"/>
                <w:bCs/>
              </w:rPr>
              <w:fldChar w:fldCharType="separate"/>
            </w:r>
            <w:r w:rsidR="00C878B0">
              <w:rPr>
                <w:rFonts w:asciiTheme="majorHAnsi" w:hAnsiTheme="majorHAnsi"/>
                <w:bCs/>
                <w:noProof/>
              </w:rPr>
              <w:t>2</w:t>
            </w:r>
            <w:r w:rsidRPr="0068749B">
              <w:rPr>
                <w:rFonts w:asciiTheme="majorHAnsi" w:hAnsiTheme="majorHAnsi"/>
                <w:bCs/>
              </w:rPr>
              <w:fldChar w:fldCharType="end"/>
            </w:r>
            <w:r w:rsidRPr="0068749B">
              <w:rPr>
                <w:rFonts w:asciiTheme="majorHAnsi" w:hAnsiTheme="majorHAnsi"/>
              </w:rPr>
              <w:t xml:space="preserve"> of </w:t>
            </w:r>
            <w:r w:rsidRPr="0068749B">
              <w:rPr>
                <w:rFonts w:asciiTheme="majorHAnsi" w:hAnsiTheme="majorHAnsi"/>
                <w:bCs/>
              </w:rPr>
              <w:fldChar w:fldCharType="begin"/>
            </w:r>
            <w:r w:rsidRPr="0068749B">
              <w:rPr>
                <w:rFonts w:asciiTheme="majorHAnsi" w:hAnsiTheme="majorHAnsi"/>
                <w:bCs/>
              </w:rPr>
              <w:instrText xml:space="preserve"> NUMPAGES  </w:instrText>
            </w:r>
            <w:r w:rsidRPr="0068749B">
              <w:rPr>
                <w:rFonts w:asciiTheme="majorHAnsi" w:hAnsiTheme="majorHAnsi"/>
                <w:bCs/>
              </w:rPr>
              <w:fldChar w:fldCharType="separate"/>
            </w:r>
            <w:r w:rsidR="00C878B0">
              <w:rPr>
                <w:rFonts w:asciiTheme="majorHAnsi" w:hAnsiTheme="majorHAnsi"/>
                <w:bCs/>
                <w:noProof/>
              </w:rPr>
              <w:t>4</w:t>
            </w:r>
            <w:r w:rsidRPr="0068749B">
              <w:rPr>
                <w:rFonts w:asciiTheme="majorHAnsi" w:hAnsiTheme="majorHAnsi"/>
                <w:bCs/>
              </w:rPr>
              <w:fldChar w:fldCharType="end"/>
            </w:r>
          </w:p>
        </w:sdtContent>
      </w:sdt>
    </w:sdtContent>
  </w:sdt>
  <w:p w:rsidR="0068749B" w:rsidRDefault="006874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rPr>
      <w:id w:val="2086487561"/>
      <w:docPartObj>
        <w:docPartGallery w:val="Page Numbers (Bottom of Page)"/>
        <w:docPartUnique/>
      </w:docPartObj>
    </w:sdtPr>
    <w:sdtEndPr/>
    <w:sdtContent>
      <w:sdt>
        <w:sdtPr>
          <w:rPr>
            <w:rFonts w:asciiTheme="majorHAnsi" w:hAnsiTheme="majorHAnsi"/>
          </w:rPr>
          <w:id w:val="1728636285"/>
          <w:docPartObj>
            <w:docPartGallery w:val="Page Numbers (Top of Page)"/>
            <w:docPartUnique/>
          </w:docPartObj>
        </w:sdtPr>
        <w:sdtEndPr/>
        <w:sdtContent>
          <w:p w:rsidR="0068749B" w:rsidRDefault="0068749B">
            <w:pPr>
              <w:pStyle w:val="Footer"/>
              <w:jc w:val="center"/>
              <w:rPr>
                <w:rFonts w:ascii="Candara" w:hAnsi="Candara"/>
                <w:b/>
              </w:rPr>
            </w:pPr>
            <w:r w:rsidRPr="0068749B">
              <w:rPr>
                <w:rFonts w:asciiTheme="majorHAnsi" w:hAnsiTheme="majorHAnsi"/>
              </w:rPr>
              <w:t xml:space="preserve">Page </w:t>
            </w:r>
            <w:r w:rsidRPr="0068749B">
              <w:rPr>
                <w:rFonts w:asciiTheme="majorHAnsi" w:hAnsiTheme="majorHAnsi"/>
                <w:bCs/>
              </w:rPr>
              <w:fldChar w:fldCharType="begin"/>
            </w:r>
            <w:r w:rsidRPr="0068749B">
              <w:rPr>
                <w:rFonts w:asciiTheme="majorHAnsi" w:hAnsiTheme="majorHAnsi"/>
                <w:bCs/>
              </w:rPr>
              <w:instrText xml:space="preserve"> PAGE </w:instrText>
            </w:r>
            <w:r w:rsidRPr="0068749B">
              <w:rPr>
                <w:rFonts w:asciiTheme="majorHAnsi" w:hAnsiTheme="majorHAnsi"/>
                <w:bCs/>
              </w:rPr>
              <w:fldChar w:fldCharType="separate"/>
            </w:r>
            <w:r w:rsidR="00C878B0">
              <w:rPr>
                <w:rFonts w:asciiTheme="majorHAnsi" w:hAnsiTheme="majorHAnsi"/>
                <w:bCs/>
                <w:noProof/>
              </w:rPr>
              <w:t>1</w:t>
            </w:r>
            <w:r w:rsidRPr="0068749B">
              <w:rPr>
                <w:rFonts w:asciiTheme="majorHAnsi" w:hAnsiTheme="majorHAnsi"/>
                <w:bCs/>
              </w:rPr>
              <w:fldChar w:fldCharType="end"/>
            </w:r>
            <w:r w:rsidRPr="0068749B">
              <w:rPr>
                <w:rFonts w:asciiTheme="majorHAnsi" w:hAnsiTheme="majorHAnsi"/>
              </w:rPr>
              <w:t xml:space="preserve"> of </w:t>
            </w:r>
            <w:r w:rsidRPr="0068749B">
              <w:rPr>
                <w:rFonts w:asciiTheme="majorHAnsi" w:hAnsiTheme="majorHAnsi"/>
                <w:bCs/>
              </w:rPr>
              <w:fldChar w:fldCharType="begin"/>
            </w:r>
            <w:r w:rsidRPr="0068749B">
              <w:rPr>
                <w:rFonts w:asciiTheme="majorHAnsi" w:hAnsiTheme="majorHAnsi"/>
                <w:bCs/>
              </w:rPr>
              <w:instrText xml:space="preserve"> NUMPAGES  </w:instrText>
            </w:r>
            <w:r w:rsidRPr="0068749B">
              <w:rPr>
                <w:rFonts w:asciiTheme="majorHAnsi" w:hAnsiTheme="majorHAnsi"/>
                <w:bCs/>
              </w:rPr>
              <w:fldChar w:fldCharType="separate"/>
            </w:r>
            <w:r w:rsidR="00C878B0">
              <w:rPr>
                <w:rFonts w:asciiTheme="majorHAnsi" w:hAnsiTheme="majorHAnsi"/>
                <w:bCs/>
                <w:noProof/>
              </w:rPr>
              <w:t>4</w:t>
            </w:r>
            <w:r w:rsidRPr="0068749B">
              <w:rPr>
                <w:rFonts w:asciiTheme="majorHAnsi" w:hAnsiTheme="majorHAnsi"/>
                <w:bCs/>
              </w:rPr>
              <w:fldChar w:fldCharType="end"/>
            </w:r>
          </w:p>
        </w:sdtContent>
      </w:sdt>
    </w:sdtContent>
  </w:sdt>
  <w:p w:rsidR="00C878B0" w:rsidRPr="00C878B0" w:rsidRDefault="00C878B0" w:rsidP="00C878B0">
    <w:pPr>
      <w:pStyle w:val="Footer"/>
      <w:jc w:val="center"/>
      <w:rPr>
        <w:rFonts w:ascii="Candara" w:hAnsi="Candara"/>
        <w:b/>
      </w:rPr>
    </w:pPr>
    <w:r>
      <w:rPr>
        <w:rFonts w:ascii="Candara" w:hAnsi="Candara"/>
        <w:b/>
      </w:rPr>
      <w:t>Capgemini Public</w:t>
    </w:r>
  </w:p>
  <w:p w:rsidR="0068749B" w:rsidRDefault="006874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5C" w:rsidRDefault="00392E5C" w:rsidP="0068749B">
      <w:pPr>
        <w:spacing w:after="0" w:line="240" w:lineRule="auto"/>
      </w:pPr>
      <w:r>
        <w:separator/>
      </w:r>
    </w:p>
  </w:footnote>
  <w:footnote w:type="continuationSeparator" w:id="0">
    <w:p w:rsidR="00392E5C" w:rsidRDefault="00392E5C" w:rsidP="00687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49B" w:rsidRDefault="0068749B" w:rsidP="0068749B">
    <w:pPr>
      <w:pStyle w:val="Header"/>
      <w:jc w:val="center"/>
    </w:pPr>
    <w:r>
      <w:t>Chesapeake Bay Watershed Agreement (2014)</w:t>
    </w:r>
  </w:p>
  <w:p w:rsidR="0068749B" w:rsidRDefault="0068749B" w:rsidP="0068749B">
    <w:pPr>
      <w:pStyle w:val="Header"/>
      <w:jc w:val="center"/>
    </w:pPr>
    <w:r>
      <w:t>Goals and Outcomes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3EC"/>
    <w:rsid w:val="000006E2"/>
    <w:rsid w:val="00005F76"/>
    <w:rsid w:val="000112F0"/>
    <w:rsid w:val="00031029"/>
    <w:rsid w:val="000348A5"/>
    <w:rsid w:val="00040A3F"/>
    <w:rsid w:val="00040E5B"/>
    <w:rsid w:val="00041381"/>
    <w:rsid w:val="00052CB3"/>
    <w:rsid w:val="0005708D"/>
    <w:rsid w:val="00077BCF"/>
    <w:rsid w:val="0008009A"/>
    <w:rsid w:val="00082F96"/>
    <w:rsid w:val="00084DAA"/>
    <w:rsid w:val="00094050"/>
    <w:rsid w:val="000979AD"/>
    <w:rsid w:val="000A6FD4"/>
    <w:rsid w:val="000B3ED3"/>
    <w:rsid w:val="000C51F4"/>
    <w:rsid w:val="000C6665"/>
    <w:rsid w:val="000E44E5"/>
    <w:rsid w:val="000E637C"/>
    <w:rsid w:val="000E645E"/>
    <w:rsid w:val="000F104C"/>
    <w:rsid w:val="000F181B"/>
    <w:rsid w:val="000F417A"/>
    <w:rsid w:val="000F68BF"/>
    <w:rsid w:val="00103A0D"/>
    <w:rsid w:val="00105EFA"/>
    <w:rsid w:val="001144B1"/>
    <w:rsid w:val="0012179B"/>
    <w:rsid w:val="00125736"/>
    <w:rsid w:val="001428B7"/>
    <w:rsid w:val="001459DA"/>
    <w:rsid w:val="0016712D"/>
    <w:rsid w:val="00173E65"/>
    <w:rsid w:val="00176C56"/>
    <w:rsid w:val="00177157"/>
    <w:rsid w:val="00181F14"/>
    <w:rsid w:val="00186F88"/>
    <w:rsid w:val="00187D28"/>
    <w:rsid w:val="001926A5"/>
    <w:rsid w:val="00192722"/>
    <w:rsid w:val="00193EA1"/>
    <w:rsid w:val="001944DC"/>
    <w:rsid w:val="001976B3"/>
    <w:rsid w:val="001A190A"/>
    <w:rsid w:val="001A39A4"/>
    <w:rsid w:val="001A4061"/>
    <w:rsid w:val="001A67CC"/>
    <w:rsid w:val="001B582A"/>
    <w:rsid w:val="001C56F4"/>
    <w:rsid w:val="001C5AB8"/>
    <w:rsid w:val="001D08C2"/>
    <w:rsid w:val="001D0EC3"/>
    <w:rsid w:val="001D3AC7"/>
    <w:rsid w:val="001D7D2A"/>
    <w:rsid w:val="001F1EC4"/>
    <w:rsid w:val="001F5F04"/>
    <w:rsid w:val="00205725"/>
    <w:rsid w:val="002102BF"/>
    <w:rsid w:val="00215263"/>
    <w:rsid w:val="00215AD6"/>
    <w:rsid w:val="00216DD2"/>
    <w:rsid w:val="00217F99"/>
    <w:rsid w:val="00225390"/>
    <w:rsid w:val="00234553"/>
    <w:rsid w:val="00235D3C"/>
    <w:rsid w:val="0023614F"/>
    <w:rsid w:val="00236ED9"/>
    <w:rsid w:val="002408C2"/>
    <w:rsid w:val="0024783A"/>
    <w:rsid w:val="00247DC1"/>
    <w:rsid w:val="00251252"/>
    <w:rsid w:val="00252B50"/>
    <w:rsid w:val="00253CDA"/>
    <w:rsid w:val="0025497C"/>
    <w:rsid w:val="00257E05"/>
    <w:rsid w:val="0026371E"/>
    <w:rsid w:val="00267203"/>
    <w:rsid w:val="00270FDF"/>
    <w:rsid w:val="00274FC7"/>
    <w:rsid w:val="00282DC4"/>
    <w:rsid w:val="0028413C"/>
    <w:rsid w:val="00285C40"/>
    <w:rsid w:val="00286528"/>
    <w:rsid w:val="00287594"/>
    <w:rsid w:val="0029076B"/>
    <w:rsid w:val="002950A4"/>
    <w:rsid w:val="002970CB"/>
    <w:rsid w:val="002A280C"/>
    <w:rsid w:val="002A5230"/>
    <w:rsid w:val="002A6607"/>
    <w:rsid w:val="002B0AB8"/>
    <w:rsid w:val="002B26D2"/>
    <w:rsid w:val="002B78A0"/>
    <w:rsid w:val="002C15EA"/>
    <w:rsid w:val="002C74DF"/>
    <w:rsid w:val="002D3AA0"/>
    <w:rsid w:val="002D4753"/>
    <w:rsid w:val="002D4F66"/>
    <w:rsid w:val="002D69C1"/>
    <w:rsid w:val="002E12D4"/>
    <w:rsid w:val="002E1A28"/>
    <w:rsid w:val="002E3B24"/>
    <w:rsid w:val="002E4FB7"/>
    <w:rsid w:val="002F31C2"/>
    <w:rsid w:val="002F3DF6"/>
    <w:rsid w:val="00302833"/>
    <w:rsid w:val="003070EF"/>
    <w:rsid w:val="003159BB"/>
    <w:rsid w:val="003222CE"/>
    <w:rsid w:val="003227A8"/>
    <w:rsid w:val="00324D98"/>
    <w:rsid w:val="0032798C"/>
    <w:rsid w:val="00331B79"/>
    <w:rsid w:val="00332B45"/>
    <w:rsid w:val="00334D96"/>
    <w:rsid w:val="003478C4"/>
    <w:rsid w:val="003513D6"/>
    <w:rsid w:val="0035673F"/>
    <w:rsid w:val="00364552"/>
    <w:rsid w:val="00366525"/>
    <w:rsid w:val="00377877"/>
    <w:rsid w:val="00377D6A"/>
    <w:rsid w:val="00385F59"/>
    <w:rsid w:val="00392A5A"/>
    <w:rsid w:val="00392E5C"/>
    <w:rsid w:val="00392FA3"/>
    <w:rsid w:val="00394BB0"/>
    <w:rsid w:val="00397ED4"/>
    <w:rsid w:val="003A1DA6"/>
    <w:rsid w:val="003A3FA7"/>
    <w:rsid w:val="003A691B"/>
    <w:rsid w:val="003B00C8"/>
    <w:rsid w:val="003B136B"/>
    <w:rsid w:val="003B23EC"/>
    <w:rsid w:val="003B5A13"/>
    <w:rsid w:val="003B5EA1"/>
    <w:rsid w:val="003C054C"/>
    <w:rsid w:val="003D69B4"/>
    <w:rsid w:val="003E08F5"/>
    <w:rsid w:val="003E4D60"/>
    <w:rsid w:val="003F0CBA"/>
    <w:rsid w:val="003F4C4A"/>
    <w:rsid w:val="003F5DBF"/>
    <w:rsid w:val="003F5FC2"/>
    <w:rsid w:val="003F6809"/>
    <w:rsid w:val="003F7A81"/>
    <w:rsid w:val="00401DDE"/>
    <w:rsid w:val="00403752"/>
    <w:rsid w:val="0040639A"/>
    <w:rsid w:val="00414D3E"/>
    <w:rsid w:val="00424424"/>
    <w:rsid w:val="0042606B"/>
    <w:rsid w:val="004302B0"/>
    <w:rsid w:val="00430535"/>
    <w:rsid w:val="004400AE"/>
    <w:rsid w:val="004532E2"/>
    <w:rsid w:val="00455BCF"/>
    <w:rsid w:val="00477264"/>
    <w:rsid w:val="004823B7"/>
    <w:rsid w:val="00483F3B"/>
    <w:rsid w:val="00487225"/>
    <w:rsid w:val="004928A9"/>
    <w:rsid w:val="00492D59"/>
    <w:rsid w:val="00493F7E"/>
    <w:rsid w:val="004B49E3"/>
    <w:rsid w:val="004B4BE8"/>
    <w:rsid w:val="004C09C4"/>
    <w:rsid w:val="004C4F29"/>
    <w:rsid w:val="004D6253"/>
    <w:rsid w:val="004D6B6B"/>
    <w:rsid w:val="004E3850"/>
    <w:rsid w:val="004E47A1"/>
    <w:rsid w:val="004E4DB9"/>
    <w:rsid w:val="004F10FE"/>
    <w:rsid w:val="00511BA1"/>
    <w:rsid w:val="005229B4"/>
    <w:rsid w:val="0052798B"/>
    <w:rsid w:val="00531802"/>
    <w:rsid w:val="00531FE4"/>
    <w:rsid w:val="0055797E"/>
    <w:rsid w:val="005660F3"/>
    <w:rsid w:val="0057032C"/>
    <w:rsid w:val="005750A2"/>
    <w:rsid w:val="00582A35"/>
    <w:rsid w:val="00584647"/>
    <w:rsid w:val="005915D6"/>
    <w:rsid w:val="00593625"/>
    <w:rsid w:val="005948F9"/>
    <w:rsid w:val="0059731A"/>
    <w:rsid w:val="005A1705"/>
    <w:rsid w:val="005A5A37"/>
    <w:rsid w:val="005A7586"/>
    <w:rsid w:val="005A7781"/>
    <w:rsid w:val="005B4ADF"/>
    <w:rsid w:val="005B6625"/>
    <w:rsid w:val="005B78E0"/>
    <w:rsid w:val="005D038E"/>
    <w:rsid w:val="005D16D9"/>
    <w:rsid w:val="005E7BAE"/>
    <w:rsid w:val="005F4EC4"/>
    <w:rsid w:val="00606181"/>
    <w:rsid w:val="00607C8B"/>
    <w:rsid w:val="006107B2"/>
    <w:rsid w:val="006215AE"/>
    <w:rsid w:val="00621DEA"/>
    <w:rsid w:val="00625A7D"/>
    <w:rsid w:val="00627918"/>
    <w:rsid w:val="0063197A"/>
    <w:rsid w:val="00633C4B"/>
    <w:rsid w:val="00636161"/>
    <w:rsid w:val="006379BC"/>
    <w:rsid w:val="00643883"/>
    <w:rsid w:val="00643F5B"/>
    <w:rsid w:val="00644D80"/>
    <w:rsid w:val="00645675"/>
    <w:rsid w:val="006465AF"/>
    <w:rsid w:val="0064780E"/>
    <w:rsid w:val="00647C34"/>
    <w:rsid w:val="00654946"/>
    <w:rsid w:val="00667215"/>
    <w:rsid w:val="006762A4"/>
    <w:rsid w:val="00676FA9"/>
    <w:rsid w:val="00681978"/>
    <w:rsid w:val="0068229D"/>
    <w:rsid w:val="0068749B"/>
    <w:rsid w:val="006B22D9"/>
    <w:rsid w:val="006B2B5A"/>
    <w:rsid w:val="006B311A"/>
    <w:rsid w:val="006E0D08"/>
    <w:rsid w:val="006E6B61"/>
    <w:rsid w:val="006F07C2"/>
    <w:rsid w:val="00722CAC"/>
    <w:rsid w:val="00723B97"/>
    <w:rsid w:val="007375B6"/>
    <w:rsid w:val="00743196"/>
    <w:rsid w:val="007463D3"/>
    <w:rsid w:val="00752591"/>
    <w:rsid w:val="007533EC"/>
    <w:rsid w:val="00754CF8"/>
    <w:rsid w:val="0075631B"/>
    <w:rsid w:val="00756684"/>
    <w:rsid w:val="00760511"/>
    <w:rsid w:val="00760B3A"/>
    <w:rsid w:val="00763E2E"/>
    <w:rsid w:val="00766218"/>
    <w:rsid w:val="007674A0"/>
    <w:rsid w:val="00770460"/>
    <w:rsid w:val="007704C1"/>
    <w:rsid w:val="007708E6"/>
    <w:rsid w:val="00773BA5"/>
    <w:rsid w:val="00792BD3"/>
    <w:rsid w:val="007B07BA"/>
    <w:rsid w:val="007B45D4"/>
    <w:rsid w:val="007B45E7"/>
    <w:rsid w:val="007C4B39"/>
    <w:rsid w:val="007D358D"/>
    <w:rsid w:val="007E4BC1"/>
    <w:rsid w:val="007E56D3"/>
    <w:rsid w:val="00803479"/>
    <w:rsid w:val="0080710D"/>
    <w:rsid w:val="00810A5E"/>
    <w:rsid w:val="0081116B"/>
    <w:rsid w:val="00812C23"/>
    <w:rsid w:val="008268E0"/>
    <w:rsid w:val="008337DE"/>
    <w:rsid w:val="00835284"/>
    <w:rsid w:val="008357C3"/>
    <w:rsid w:val="00835999"/>
    <w:rsid w:val="008359C1"/>
    <w:rsid w:val="00835A89"/>
    <w:rsid w:val="00844A00"/>
    <w:rsid w:val="00847421"/>
    <w:rsid w:val="00861782"/>
    <w:rsid w:val="008700C8"/>
    <w:rsid w:val="00875C34"/>
    <w:rsid w:val="00877B65"/>
    <w:rsid w:val="008836CC"/>
    <w:rsid w:val="008A196F"/>
    <w:rsid w:val="008A1C3F"/>
    <w:rsid w:val="008A25DD"/>
    <w:rsid w:val="008B4092"/>
    <w:rsid w:val="008B502B"/>
    <w:rsid w:val="008C5263"/>
    <w:rsid w:val="008D1BA1"/>
    <w:rsid w:val="008D4A29"/>
    <w:rsid w:val="008D5B9D"/>
    <w:rsid w:val="008D7F26"/>
    <w:rsid w:val="008F212F"/>
    <w:rsid w:val="008F6109"/>
    <w:rsid w:val="008F763E"/>
    <w:rsid w:val="00901B44"/>
    <w:rsid w:val="00904AB2"/>
    <w:rsid w:val="00912C54"/>
    <w:rsid w:val="009145A8"/>
    <w:rsid w:val="00914E6D"/>
    <w:rsid w:val="00916F6E"/>
    <w:rsid w:val="009412ED"/>
    <w:rsid w:val="00944584"/>
    <w:rsid w:val="00952D0E"/>
    <w:rsid w:val="00955456"/>
    <w:rsid w:val="0097070D"/>
    <w:rsid w:val="00973D52"/>
    <w:rsid w:val="009740B8"/>
    <w:rsid w:val="0098240C"/>
    <w:rsid w:val="00986153"/>
    <w:rsid w:val="00993BDE"/>
    <w:rsid w:val="009956B2"/>
    <w:rsid w:val="00995ABC"/>
    <w:rsid w:val="009A4BC5"/>
    <w:rsid w:val="009A4DC9"/>
    <w:rsid w:val="009A7318"/>
    <w:rsid w:val="009A74EE"/>
    <w:rsid w:val="009B0139"/>
    <w:rsid w:val="009B156A"/>
    <w:rsid w:val="009B4202"/>
    <w:rsid w:val="009B590A"/>
    <w:rsid w:val="009C068A"/>
    <w:rsid w:val="009C1D2D"/>
    <w:rsid w:val="009C3148"/>
    <w:rsid w:val="009D520C"/>
    <w:rsid w:val="009D6839"/>
    <w:rsid w:val="009D72CC"/>
    <w:rsid w:val="009E3DB1"/>
    <w:rsid w:val="009F2876"/>
    <w:rsid w:val="009F287A"/>
    <w:rsid w:val="009F3746"/>
    <w:rsid w:val="009F4795"/>
    <w:rsid w:val="00A018CB"/>
    <w:rsid w:val="00A06EB0"/>
    <w:rsid w:val="00A100C0"/>
    <w:rsid w:val="00A10CC1"/>
    <w:rsid w:val="00A1347A"/>
    <w:rsid w:val="00A1403E"/>
    <w:rsid w:val="00A17536"/>
    <w:rsid w:val="00A17ABE"/>
    <w:rsid w:val="00A230C2"/>
    <w:rsid w:val="00A26A71"/>
    <w:rsid w:val="00A30691"/>
    <w:rsid w:val="00A34CB6"/>
    <w:rsid w:val="00A5161C"/>
    <w:rsid w:val="00A563A9"/>
    <w:rsid w:val="00A64085"/>
    <w:rsid w:val="00A8094A"/>
    <w:rsid w:val="00A87860"/>
    <w:rsid w:val="00A9142C"/>
    <w:rsid w:val="00A91CC7"/>
    <w:rsid w:val="00A941FC"/>
    <w:rsid w:val="00AA2040"/>
    <w:rsid w:val="00AB0B9B"/>
    <w:rsid w:val="00AB1148"/>
    <w:rsid w:val="00AB697C"/>
    <w:rsid w:val="00AD0C72"/>
    <w:rsid w:val="00AD15ED"/>
    <w:rsid w:val="00AD3DC6"/>
    <w:rsid w:val="00AD45B2"/>
    <w:rsid w:val="00AD610E"/>
    <w:rsid w:val="00AD62BC"/>
    <w:rsid w:val="00AE0DF5"/>
    <w:rsid w:val="00AE1CC1"/>
    <w:rsid w:val="00AE3CF8"/>
    <w:rsid w:val="00AE4775"/>
    <w:rsid w:val="00AE70E3"/>
    <w:rsid w:val="00AF4CE0"/>
    <w:rsid w:val="00AF4F82"/>
    <w:rsid w:val="00B07A17"/>
    <w:rsid w:val="00B15E22"/>
    <w:rsid w:val="00B16806"/>
    <w:rsid w:val="00B22E61"/>
    <w:rsid w:val="00B22F10"/>
    <w:rsid w:val="00B233A8"/>
    <w:rsid w:val="00B23E67"/>
    <w:rsid w:val="00B3084F"/>
    <w:rsid w:val="00B316F3"/>
    <w:rsid w:val="00B31AB9"/>
    <w:rsid w:val="00B31F7C"/>
    <w:rsid w:val="00B32723"/>
    <w:rsid w:val="00B428E1"/>
    <w:rsid w:val="00B558F9"/>
    <w:rsid w:val="00B56845"/>
    <w:rsid w:val="00B623D3"/>
    <w:rsid w:val="00B66420"/>
    <w:rsid w:val="00B70C9D"/>
    <w:rsid w:val="00B72036"/>
    <w:rsid w:val="00B72D5F"/>
    <w:rsid w:val="00B733A2"/>
    <w:rsid w:val="00B73D1F"/>
    <w:rsid w:val="00B752EC"/>
    <w:rsid w:val="00B75627"/>
    <w:rsid w:val="00B8049A"/>
    <w:rsid w:val="00B81A0D"/>
    <w:rsid w:val="00B81A83"/>
    <w:rsid w:val="00B86B85"/>
    <w:rsid w:val="00B9076E"/>
    <w:rsid w:val="00B949EE"/>
    <w:rsid w:val="00BA405F"/>
    <w:rsid w:val="00BB1ACF"/>
    <w:rsid w:val="00BC502B"/>
    <w:rsid w:val="00BC6270"/>
    <w:rsid w:val="00BD01C7"/>
    <w:rsid w:val="00BD201A"/>
    <w:rsid w:val="00BD3748"/>
    <w:rsid w:val="00BE6599"/>
    <w:rsid w:val="00BF1B68"/>
    <w:rsid w:val="00BF2012"/>
    <w:rsid w:val="00BF222C"/>
    <w:rsid w:val="00BF3F1A"/>
    <w:rsid w:val="00BF4891"/>
    <w:rsid w:val="00C0609D"/>
    <w:rsid w:val="00C11A60"/>
    <w:rsid w:val="00C12661"/>
    <w:rsid w:val="00C34B9C"/>
    <w:rsid w:val="00C35357"/>
    <w:rsid w:val="00C35A5B"/>
    <w:rsid w:val="00C43175"/>
    <w:rsid w:val="00C504F9"/>
    <w:rsid w:val="00C5274B"/>
    <w:rsid w:val="00C54DB9"/>
    <w:rsid w:val="00C567E2"/>
    <w:rsid w:val="00C621E4"/>
    <w:rsid w:val="00C64E26"/>
    <w:rsid w:val="00C67AAB"/>
    <w:rsid w:val="00C75FC9"/>
    <w:rsid w:val="00C76F08"/>
    <w:rsid w:val="00C81602"/>
    <w:rsid w:val="00C86EF9"/>
    <w:rsid w:val="00C878B0"/>
    <w:rsid w:val="00C87F75"/>
    <w:rsid w:val="00CA5BA2"/>
    <w:rsid w:val="00CA65E5"/>
    <w:rsid w:val="00CB087F"/>
    <w:rsid w:val="00CB6E77"/>
    <w:rsid w:val="00CB7030"/>
    <w:rsid w:val="00CB7E8B"/>
    <w:rsid w:val="00CC5FF0"/>
    <w:rsid w:val="00CD15E1"/>
    <w:rsid w:val="00CD3AF4"/>
    <w:rsid w:val="00CD7E93"/>
    <w:rsid w:val="00CE245C"/>
    <w:rsid w:val="00CE4BA0"/>
    <w:rsid w:val="00CE77C2"/>
    <w:rsid w:val="00CF25EE"/>
    <w:rsid w:val="00CF4F51"/>
    <w:rsid w:val="00D007C1"/>
    <w:rsid w:val="00D0521F"/>
    <w:rsid w:val="00D10761"/>
    <w:rsid w:val="00D1216F"/>
    <w:rsid w:val="00D200AE"/>
    <w:rsid w:val="00D2093B"/>
    <w:rsid w:val="00D2120D"/>
    <w:rsid w:val="00D22495"/>
    <w:rsid w:val="00D36028"/>
    <w:rsid w:val="00D36B15"/>
    <w:rsid w:val="00D44C01"/>
    <w:rsid w:val="00D45F91"/>
    <w:rsid w:val="00D556AC"/>
    <w:rsid w:val="00D71788"/>
    <w:rsid w:val="00D811D7"/>
    <w:rsid w:val="00D8758E"/>
    <w:rsid w:val="00D928F8"/>
    <w:rsid w:val="00D95400"/>
    <w:rsid w:val="00DA0093"/>
    <w:rsid w:val="00DA2B02"/>
    <w:rsid w:val="00DA4A9F"/>
    <w:rsid w:val="00DA5133"/>
    <w:rsid w:val="00DA7C56"/>
    <w:rsid w:val="00DB548D"/>
    <w:rsid w:val="00DB6A61"/>
    <w:rsid w:val="00DC3C66"/>
    <w:rsid w:val="00DC586F"/>
    <w:rsid w:val="00DD116B"/>
    <w:rsid w:val="00DD4B85"/>
    <w:rsid w:val="00DE4AA7"/>
    <w:rsid w:val="00DF1ABB"/>
    <w:rsid w:val="00DF43CC"/>
    <w:rsid w:val="00DF5367"/>
    <w:rsid w:val="00DF7542"/>
    <w:rsid w:val="00E04C23"/>
    <w:rsid w:val="00E1412C"/>
    <w:rsid w:val="00E156CE"/>
    <w:rsid w:val="00E269FD"/>
    <w:rsid w:val="00E26C4B"/>
    <w:rsid w:val="00E30026"/>
    <w:rsid w:val="00E368D7"/>
    <w:rsid w:val="00E43002"/>
    <w:rsid w:val="00E44A99"/>
    <w:rsid w:val="00E44BDF"/>
    <w:rsid w:val="00E45354"/>
    <w:rsid w:val="00E52949"/>
    <w:rsid w:val="00E532ED"/>
    <w:rsid w:val="00E5380D"/>
    <w:rsid w:val="00E566F3"/>
    <w:rsid w:val="00E572D7"/>
    <w:rsid w:val="00E60C2F"/>
    <w:rsid w:val="00E749D0"/>
    <w:rsid w:val="00E7604C"/>
    <w:rsid w:val="00E83328"/>
    <w:rsid w:val="00E84D49"/>
    <w:rsid w:val="00E97C55"/>
    <w:rsid w:val="00EA5524"/>
    <w:rsid w:val="00EB2DD2"/>
    <w:rsid w:val="00EB2E3D"/>
    <w:rsid w:val="00EB31F8"/>
    <w:rsid w:val="00EB7046"/>
    <w:rsid w:val="00EC00ED"/>
    <w:rsid w:val="00ED0E05"/>
    <w:rsid w:val="00ED4E39"/>
    <w:rsid w:val="00ED74C3"/>
    <w:rsid w:val="00EE06B8"/>
    <w:rsid w:val="00EE1FB3"/>
    <w:rsid w:val="00EF0609"/>
    <w:rsid w:val="00EF45BE"/>
    <w:rsid w:val="00EF5AC7"/>
    <w:rsid w:val="00F0483B"/>
    <w:rsid w:val="00F125F1"/>
    <w:rsid w:val="00F212BD"/>
    <w:rsid w:val="00F31F71"/>
    <w:rsid w:val="00F36D29"/>
    <w:rsid w:val="00F37151"/>
    <w:rsid w:val="00F449B7"/>
    <w:rsid w:val="00F44AF8"/>
    <w:rsid w:val="00F55067"/>
    <w:rsid w:val="00F55B33"/>
    <w:rsid w:val="00F60B04"/>
    <w:rsid w:val="00F705E1"/>
    <w:rsid w:val="00F87692"/>
    <w:rsid w:val="00FA13A0"/>
    <w:rsid w:val="00FB6EAD"/>
    <w:rsid w:val="00FC4185"/>
    <w:rsid w:val="00FC5DCE"/>
    <w:rsid w:val="00FC7337"/>
    <w:rsid w:val="00FD1012"/>
    <w:rsid w:val="00FD11B9"/>
    <w:rsid w:val="00FD3953"/>
    <w:rsid w:val="00FD3E15"/>
    <w:rsid w:val="00FF0EF1"/>
    <w:rsid w:val="00FF2118"/>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3EC"/>
    <w:rPr>
      <w:color w:val="0563C1" w:themeColor="hyperlink"/>
      <w:u w:val="single"/>
    </w:rPr>
  </w:style>
  <w:style w:type="character" w:styleId="FollowedHyperlink">
    <w:name w:val="FollowedHyperlink"/>
    <w:basedOn w:val="DefaultParagraphFont"/>
    <w:uiPriority w:val="99"/>
    <w:semiHidden/>
    <w:unhideWhenUsed/>
    <w:rsid w:val="003B23EC"/>
    <w:rPr>
      <w:color w:val="954F72" w:themeColor="followedHyperlink"/>
      <w:u w:val="single"/>
    </w:rPr>
  </w:style>
  <w:style w:type="character" w:styleId="Strong">
    <w:name w:val="Strong"/>
    <w:basedOn w:val="DefaultParagraphFont"/>
    <w:uiPriority w:val="22"/>
    <w:qFormat/>
    <w:rsid w:val="003B23EC"/>
    <w:rPr>
      <w:b/>
      <w:bCs/>
    </w:rPr>
  </w:style>
  <w:style w:type="table" w:styleId="TableGrid">
    <w:name w:val="Table Grid"/>
    <w:basedOn w:val="TableNormal"/>
    <w:uiPriority w:val="39"/>
    <w:rsid w:val="007B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49B"/>
  </w:style>
  <w:style w:type="paragraph" w:styleId="Footer">
    <w:name w:val="footer"/>
    <w:basedOn w:val="Normal"/>
    <w:link w:val="FooterChar"/>
    <w:uiPriority w:val="99"/>
    <w:unhideWhenUsed/>
    <w:rsid w:val="0068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23EC"/>
    <w:rPr>
      <w:color w:val="0563C1" w:themeColor="hyperlink"/>
      <w:u w:val="single"/>
    </w:rPr>
  </w:style>
  <w:style w:type="character" w:styleId="FollowedHyperlink">
    <w:name w:val="FollowedHyperlink"/>
    <w:basedOn w:val="DefaultParagraphFont"/>
    <w:uiPriority w:val="99"/>
    <w:semiHidden/>
    <w:unhideWhenUsed/>
    <w:rsid w:val="003B23EC"/>
    <w:rPr>
      <w:color w:val="954F72" w:themeColor="followedHyperlink"/>
      <w:u w:val="single"/>
    </w:rPr>
  </w:style>
  <w:style w:type="character" w:styleId="Strong">
    <w:name w:val="Strong"/>
    <w:basedOn w:val="DefaultParagraphFont"/>
    <w:uiPriority w:val="22"/>
    <w:qFormat/>
    <w:rsid w:val="003B23EC"/>
    <w:rPr>
      <w:b/>
      <w:bCs/>
    </w:rPr>
  </w:style>
  <w:style w:type="table" w:styleId="TableGrid">
    <w:name w:val="Table Grid"/>
    <w:basedOn w:val="TableNormal"/>
    <w:uiPriority w:val="39"/>
    <w:rsid w:val="007B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7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49B"/>
  </w:style>
  <w:style w:type="paragraph" w:styleId="Footer">
    <w:name w:val="footer"/>
    <w:basedOn w:val="Normal"/>
    <w:link w:val="FooterChar"/>
    <w:uiPriority w:val="99"/>
    <w:unhideWhenUsed/>
    <w:rsid w:val="00687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0895">
      <w:bodyDiv w:val="1"/>
      <w:marLeft w:val="0"/>
      <w:marRight w:val="0"/>
      <w:marTop w:val="0"/>
      <w:marBottom w:val="0"/>
      <w:divBdr>
        <w:top w:val="none" w:sz="0" w:space="0" w:color="auto"/>
        <w:left w:val="none" w:sz="0" w:space="0" w:color="auto"/>
        <w:bottom w:val="none" w:sz="0" w:space="0" w:color="auto"/>
        <w:right w:val="none" w:sz="0" w:space="0" w:color="auto"/>
      </w:divBdr>
      <w:divsChild>
        <w:div w:id="1531793510">
          <w:marLeft w:val="0"/>
          <w:marRight w:val="0"/>
          <w:marTop w:val="0"/>
          <w:marBottom w:val="0"/>
          <w:divBdr>
            <w:top w:val="none" w:sz="0" w:space="0" w:color="auto"/>
            <w:left w:val="none" w:sz="0" w:space="0" w:color="auto"/>
            <w:bottom w:val="none" w:sz="0" w:space="0" w:color="auto"/>
            <w:right w:val="none" w:sz="0" w:space="0" w:color="auto"/>
          </w:divBdr>
          <w:divsChild>
            <w:div w:id="1950966293">
              <w:marLeft w:val="0"/>
              <w:marRight w:val="0"/>
              <w:marTop w:val="0"/>
              <w:marBottom w:val="0"/>
              <w:divBdr>
                <w:top w:val="none" w:sz="0" w:space="0" w:color="auto"/>
                <w:left w:val="none" w:sz="0" w:space="0" w:color="auto"/>
                <w:bottom w:val="none" w:sz="0" w:space="0" w:color="auto"/>
                <w:right w:val="none" w:sz="0" w:space="0" w:color="auto"/>
              </w:divBdr>
              <w:divsChild>
                <w:div w:id="1038165007">
                  <w:marLeft w:val="0"/>
                  <w:marRight w:val="0"/>
                  <w:marTop w:val="0"/>
                  <w:marBottom w:val="0"/>
                  <w:divBdr>
                    <w:top w:val="none" w:sz="0" w:space="0" w:color="auto"/>
                    <w:left w:val="none" w:sz="0" w:space="0" w:color="auto"/>
                    <w:bottom w:val="none" w:sz="0" w:space="0" w:color="auto"/>
                    <w:right w:val="none" w:sz="0" w:space="0" w:color="auto"/>
                  </w:divBdr>
                  <w:divsChild>
                    <w:div w:id="10753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3696">
      <w:bodyDiv w:val="1"/>
      <w:marLeft w:val="0"/>
      <w:marRight w:val="0"/>
      <w:marTop w:val="0"/>
      <w:marBottom w:val="0"/>
      <w:divBdr>
        <w:top w:val="none" w:sz="0" w:space="0" w:color="auto"/>
        <w:left w:val="none" w:sz="0" w:space="0" w:color="auto"/>
        <w:bottom w:val="none" w:sz="0" w:space="0" w:color="auto"/>
        <w:right w:val="none" w:sz="0" w:space="0" w:color="auto"/>
      </w:divBdr>
      <w:divsChild>
        <w:div w:id="289820711">
          <w:marLeft w:val="0"/>
          <w:marRight w:val="0"/>
          <w:marTop w:val="0"/>
          <w:marBottom w:val="0"/>
          <w:divBdr>
            <w:top w:val="none" w:sz="0" w:space="0" w:color="auto"/>
            <w:left w:val="none" w:sz="0" w:space="0" w:color="auto"/>
            <w:bottom w:val="none" w:sz="0" w:space="0" w:color="auto"/>
            <w:right w:val="none" w:sz="0" w:space="0" w:color="auto"/>
          </w:divBdr>
          <w:divsChild>
            <w:div w:id="1508398717">
              <w:marLeft w:val="0"/>
              <w:marRight w:val="0"/>
              <w:marTop w:val="0"/>
              <w:marBottom w:val="0"/>
              <w:divBdr>
                <w:top w:val="none" w:sz="0" w:space="0" w:color="auto"/>
                <w:left w:val="none" w:sz="0" w:space="0" w:color="auto"/>
                <w:bottom w:val="none" w:sz="0" w:space="0" w:color="auto"/>
                <w:right w:val="none" w:sz="0" w:space="0" w:color="auto"/>
              </w:divBdr>
              <w:divsChild>
                <w:div w:id="496963113">
                  <w:marLeft w:val="0"/>
                  <w:marRight w:val="0"/>
                  <w:marTop w:val="0"/>
                  <w:marBottom w:val="0"/>
                  <w:divBdr>
                    <w:top w:val="none" w:sz="0" w:space="0" w:color="auto"/>
                    <w:left w:val="none" w:sz="0" w:space="0" w:color="auto"/>
                    <w:bottom w:val="none" w:sz="0" w:space="0" w:color="auto"/>
                    <w:right w:val="none" w:sz="0" w:space="0" w:color="auto"/>
                  </w:divBdr>
                  <w:divsChild>
                    <w:div w:id="109513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0908">
      <w:bodyDiv w:val="1"/>
      <w:marLeft w:val="0"/>
      <w:marRight w:val="0"/>
      <w:marTop w:val="0"/>
      <w:marBottom w:val="0"/>
      <w:divBdr>
        <w:top w:val="none" w:sz="0" w:space="0" w:color="auto"/>
        <w:left w:val="none" w:sz="0" w:space="0" w:color="auto"/>
        <w:bottom w:val="none" w:sz="0" w:space="0" w:color="auto"/>
        <w:right w:val="none" w:sz="0" w:space="0" w:color="auto"/>
      </w:divBdr>
      <w:divsChild>
        <w:div w:id="1474524535">
          <w:marLeft w:val="0"/>
          <w:marRight w:val="0"/>
          <w:marTop w:val="0"/>
          <w:marBottom w:val="0"/>
          <w:divBdr>
            <w:top w:val="none" w:sz="0" w:space="0" w:color="auto"/>
            <w:left w:val="none" w:sz="0" w:space="0" w:color="auto"/>
            <w:bottom w:val="none" w:sz="0" w:space="0" w:color="auto"/>
            <w:right w:val="none" w:sz="0" w:space="0" w:color="auto"/>
          </w:divBdr>
          <w:divsChild>
            <w:div w:id="55320083">
              <w:marLeft w:val="0"/>
              <w:marRight w:val="0"/>
              <w:marTop w:val="0"/>
              <w:marBottom w:val="0"/>
              <w:divBdr>
                <w:top w:val="none" w:sz="0" w:space="0" w:color="auto"/>
                <w:left w:val="none" w:sz="0" w:space="0" w:color="auto"/>
                <w:bottom w:val="none" w:sz="0" w:space="0" w:color="auto"/>
                <w:right w:val="none" w:sz="0" w:space="0" w:color="auto"/>
              </w:divBdr>
              <w:divsChild>
                <w:div w:id="1990867789">
                  <w:marLeft w:val="0"/>
                  <w:marRight w:val="0"/>
                  <w:marTop w:val="0"/>
                  <w:marBottom w:val="0"/>
                  <w:divBdr>
                    <w:top w:val="none" w:sz="0" w:space="0" w:color="auto"/>
                    <w:left w:val="none" w:sz="0" w:space="0" w:color="auto"/>
                    <w:bottom w:val="none" w:sz="0" w:space="0" w:color="auto"/>
                    <w:right w:val="none" w:sz="0" w:space="0" w:color="auto"/>
                  </w:divBdr>
                  <w:divsChild>
                    <w:div w:id="210129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64393">
      <w:bodyDiv w:val="1"/>
      <w:marLeft w:val="0"/>
      <w:marRight w:val="0"/>
      <w:marTop w:val="0"/>
      <w:marBottom w:val="0"/>
      <w:divBdr>
        <w:top w:val="none" w:sz="0" w:space="0" w:color="auto"/>
        <w:left w:val="none" w:sz="0" w:space="0" w:color="auto"/>
        <w:bottom w:val="none" w:sz="0" w:space="0" w:color="auto"/>
        <w:right w:val="none" w:sz="0" w:space="0" w:color="auto"/>
      </w:divBdr>
      <w:divsChild>
        <w:div w:id="143475987">
          <w:marLeft w:val="0"/>
          <w:marRight w:val="0"/>
          <w:marTop w:val="0"/>
          <w:marBottom w:val="0"/>
          <w:divBdr>
            <w:top w:val="none" w:sz="0" w:space="0" w:color="auto"/>
            <w:left w:val="none" w:sz="0" w:space="0" w:color="auto"/>
            <w:bottom w:val="none" w:sz="0" w:space="0" w:color="auto"/>
            <w:right w:val="none" w:sz="0" w:space="0" w:color="auto"/>
          </w:divBdr>
          <w:divsChild>
            <w:div w:id="158618560">
              <w:marLeft w:val="0"/>
              <w:marRight w:val="0"/>
              <w:marTop w:val="0"/>
              <w:marBottom w:val="0"/>
              <w:divBdr>
                <w:top w:val="none" w:sz="0" w:space="0" w:color="auto"/>
                <w:left w:val="none" w:sz="0" w:space="0" w:color="auto"/>
                <w:bottom w:val="none" w:sz="0" w:space="0" w:color="auto"/>
                <w:right w:val="none" w:sz="0" w:space="0" w:color="auto"/>
              </w:divBdr>
              <w:divsChild>
                <w:div w:id="1731659937">
                  <w:marLeft w:val="0"/>
                  <w:marRight w:val="0"/>
                  <w:marTop w:val="0"/>
                  <w:marBottom w:val="0"/>
                  <w:divBdr>
                    <w:top w:val="none" w:sz="0" w:space="0" w:color="auto"/>
                    <w:left w:val="none" w:sz="0" w:space="0" w:color="auto"/>
                    <w:bottom w:val="none" w:sz="0" w:space="0" w:color="auto"/>
                    <w:right w:val="none" w:sz="0" w:space="0" w:color="auto"/>
                  </w:divBdr>
                  <w:divsChild>
                    <w:div w:id="5132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07617">
      <w:bodyDiv w:val="1"/>
      <w:marLeft w:val="0"/>
      <w:marRight w:val="0"/>
      <w:marTop w:val="0"/>
      <w:marBottom w:val="0"/>
      <w:divBdr>
        <w:top w:val="none" w:sz="0" w:space="0" w:color="auto"/>
        <w:left w:val="none" w:sz="0" w:space="0" w:color="auto"/>
        <w:bottom w:val="none" w:sz="0" w:space="0" w:color="auto"/>
        <w:right w:val="none" w:sz="0" w:space="0" w:color="auto"/>
      </w:divBdr>
      <w:divsChild>
        <w:div w:id="595291371">
          <w:marLeft w:val="0"/>
          <w:marRight w:val="0"/>
          <w:marTop w:val="0"/>
          <w:marBottom w:val="0"/>
          <w:divBdr>
            <w:top w:val="none" w:sz="0" w:space="0" w:color="auto"/>
            <w:left w:val="none" w:sz="0" w:space="0" w:color="auto"/>
            <w:bottom w:val="none" w:sz="0" w:space="0" w:color="auto"/>
            <w:right w:val="none" w:sz="0" w:space="0" w:color="auto"/>
          </w:divBdr>
          <w:divsChild>
            <w:div w:id="583488762">
              <w:marLeft w:val="0"/>
              <w:marRight w:val="0"/>
              <w:marTop w:val="0"/>
              <w:marBottom w:val="0"/>
              <w:divBdr>
                <w:top w:val="none" w:sz="0" w:space="0" w:color="auto"/>
                <w:left w:val="none" w:sz="0" w:space="0" w:color="auto"/>
                <w:bottom w:val="none" w:sz="0" w:space="0" w:color="auto"/>
                <w:right w:val="none" w:sz="0" w:space="0" w:color="auto"/>
              </w:divBdr>
              <w:divsChild>
                <w:div w:id="1063412844">
                  <w:marLeft w:val="0"/>
                  <w:marRight w:val="0"/>
                  <w:marTop w:val="0"/>
                  <w:marBottom w:val="0"/>
                  <w:divBdr>
                    <w:top w:val="none" w:sz="0" w:space="0" w:color="auto"/>
                    <w:left w:val="none" w:sz="0" w:space="0" w:color="auto"/>
                    <w:bottom w:val="none" w:sz="0" w:space="0" w:color="auto"/>
                    <w:right w:val="none" w:sz="0" w:space="0" w:color="auto"/>
                  </w:divBdr>
                  <w:divsChild>
                    <w:div w:id="17995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82013">
      <w:bodyDiv w:val="1"/>
      <w:marLeft w:val="0"/>
      <w:marRight w:val="0"/>
      <w:marTop w:val="0"/>
      <w:marBottom w:val="0"/>
      <w:divBdr>
        <w:top w:val="none" w:sz="0" w:space="0" w:color="auto"/>
        <w:left w:val="none" w:sz="0" w:space="0" w:color="auto"/>
        <w:bottom w:val="none" w:sz="0" w:space="0" w:color="auto"/>
        <w:right w:val="none" w:sz="0" w:space="0" w:color="auto"/>
      </w:divBdr>
      <w:divsChild>
        <w:div w:id="452599364">
          <w:marLeft w:val="0"/>
          <w:marRight w:val="0"/>
          <w:marTop w:val="0"/>
          <w:marBottom w:val="0"/>
          <w:divBdr>
            <w:top w:val="none" w:sz="0" w:space="0" w:color="auto"/>
            <w:left w:val="none" w:sz="0" w:space="0" w:color="auto"/>
            <w:bottom w:val="none" w:sz="0" w:space="0" w:color="auto"/>
            <w:right w:val="none" w:sz="0" w:space="0" w:color="auto"/>
          </w:divBdr>
          <w:divsChild>
            <w:div w:id="1075123185">
              <w:marLeft w:val="0"/>
              <w:marRight w:val="0"/>
              <w:marTop w:val="0"/>
              <w:marBottom w:val="0"/>
              <w:divBdr>
                <w:top w:val="none" w:sz="0" w:space="0" w:color="auto"/>
                <w:left w:val="none" w:sz="0" w:space="0" w:color="auto"/>
                <w:bottom w:val="none" w:sz="0" w:space="0" w:color="auto"/>
                <w:right w:val="none" w:sz="0" w:space="0" w:color="auto"/>
              </w:divBdr>
              <w:divsChild>
                <w:div w:id="1768769409">
                  <w:marLeft w:val="0"/>
                  <w:marRight w:val="0"/>
                  <w:marTop w:val="0"/>
                  <w:marBottom w:val="0"/>
                  <w:divBdr>
                    <w:top w:val="none" w:sz="0" w:space="0" w:color="auto"/>
                    <w:left w:val="none" w:sz="0" w:space="0" w:color="auto"/>
                    <w:bottom w:val="none" w:sz="0" w:space="0" w:color="auto"/>
                    <w:right w:val="none" w:sz="0" w:space="0" w:color="auto"/>
                  </w:divBdr>
                  <w:divsChild>
                    <w:div w:id="17065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89167">
      <w:bodyDiv w:val="1"/>
      <w:marLeft w:val="0"/>
      <w:marRight w:val="0"/>
      <w:marTop w:val="0"/>
      <w:marBottom w:val="0"/>
      <w:divBdr>
        <w:top w:val="none" w:sz="0" w:space="0" w:color="auto"/>
        <w:left w:val="none" w:sz="0" w:space="0" w:color="auto"/>
        <w:bottom w:val="none" w:sz="0" w:space="0" w:color="auto"/>
        <w:right w:val="none" w:sz="0" w:space="0" w:color="auto"/>
      </w:divBdr>
      <w:divsChild>
        <w:div w:id="267812037">
          <w:marLeft w:val="0"/>
          <w:marRight w:val="0"/>
          <w:marTop w:val="0"/>
          <w:marBottom w:val="0"/>
          <w:divBdr>
            <w:top w:val="none" w:sz="0" w:space="0" w:color="auto"/>
            <w:left w:val="none" w:sz="0" w:space="0" w:color="auto"/>
            <w:bottom w:val="none" w:sz="0" w:space="0" w:color="auto"/>
            <w:right w:val="none" w:sz="0" w:space="0" w:color="auto"/>
          </w:divBdr>
          <w:divsChild>
            <w:div w:id="102195284">
              <w:marLeft w:val="0"/>
              <w:marRight w:val="0"/>
              <w:marTop w:val="0"/>
              <w:marBottom w:val="0"/>
              <w:divBdr>
                <w:top w:val="none" w:sz="0" w:space="0" w:color="auto"/>
                <w:left w:val="none" w:sz="0" w:space="0" w:color="auto"/>
                <w:bottom w:val="none" w:sz="0" w:space="0" w:color="auto"/>
                <w:right w:val="none" w:sz="0" w:space="0" w:color="auto"/>
              </w:divBdr>
              <w:divsChild>
                <w:div w:id="2069959324">
                  <w:marLeft w:val="0"/>
                  <w:marRight w:val="0"/>
                  <w:marTop w:val="0"/>
                  <w:marBottom w:val="0"/>
                  <w:divBdr>
                    <w:top w:val="none" w:sz="0" w:space="0" w:color="auto"/>
                    <w:left w:val="none" w:sz="0" w:space="0" w:color="auto"/>
                    <w:bottom w:val="none" w:sz="0" w:space="0" w:color="auto"/>
                    <w:right w:val="none" w:sz="0" w:space="0" w:color="auto"/>
                  </w:divBdr>
                  <w:divsChild>
                    <w:div w:id="15494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580995">
      <w:bodyDiv w:val="1"/>
      <w:marLeft w:val="0"/>
      <w:marRight w:val="0"/>
      <w:marTop w:val="0"/>
      <w:marBottom w:val="0"/>
      <w:divBdr>
        <w:top w:val="none" w:sz="0" w:space="0" w:color="auto"/>
        <w:left w:val="none" w:sz="0" w:space="0" w:color="auto"/>
        <w:bottom w:val="none" w:sz="0" w:space="0" w:color="auto"/>
        <w:right w:val="none" w:sz="0" w:space="0" w:color="auto"/>
      </w:divBdr>
      <w:divsChild>
        <w:div w:id="2029718123">
          <w:marLeft w:val="0"/>
          <w:marRight w:val="0"/>
          <w:marTop w:val="0"/>
          <w:marBottom w:val="0"/>
          <w:divBdr>
            <w:top w:val="none" w:sz="0" w:space="0" w:color="auto"/>
            <w:left w:val="none" w:sz="0" w:space="0" w:color="auto"/>
            <w:bottom w:val="none" w:sz="0" w:space="0" w:color="auto"/>
            <w:right w:val="none" w:sz="0" w:space="0" w:color="auto"/>
          </w:divBdr>
          <w:divsChild>
            <w:div w:id="1456756842">
              <w:marLeft w:val="0"/>
              <w:marRight w:val="0"/>
              <w:marTop w:val="0"/>
              <w:marBottom w:val="0"/>
              <w:divBdr>
                <w:top w:val="none" w:sz="0" w:space="0" w:color="auto"/>
                <w:left w:val="none" w:sz="0" w:space="0" w:color="auto"/>
                <w:bottom w:val="none" w:sz="0" w:space="0" w:color="auto"/>
                <w:right w:val="none" w:sz="0" w:space="0" w:color="auto"/>
              </w:divBdr>
              <w:divsChild>
                <w:div w:id="1192181903">
                  <w:marLeft w:val="0"/>
                  <w:marRight w:val="0"/>
                  <w:marTop w:val="0"/>
                  <w:marBottom w:val="0"/>
                  <w:divBdr>
                    <w:top w:val="none" w:sz="0" w:space="0" w:color="auto"/>
                    <w:left w:val="none" w:sz="0" w:space="0" w:color="auto"/>
                    <w:bottom w:val="none" w:sz="0" w:space="0" w:color="auto"/>
                    <w:right w:val="none" w:sz="0" w:space="0" w:color="auto"/>
                  </w:divBdr>
                  <w:divsChild>
                    <w:div w:id="20144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9760">
      <w:bodyDiv w:val="1"/>
      <w:marLeft w:val="0"/>
      <w:marRight w:val="0"/>
      <w:marTop w:val="0"/>
      <w:marBottom w:val="0"/>
      <w:divBdr>
        <w:top w:val="none" w:sz="0" w:space="0" w:color="auto"/>
        <w:left w:val="none" w:sz="0" w:space="0" w:color="auto"/>
        <w:bottom w:val="none" w:sz="0" w:space="0" w:color="auto"/>
        <w:right w:val="none" w:sz="0" w:space="0" w:color="auto"/>
      </w:divBdr>
      <w:divsChild>
        <w:div w:id="584652053">
          <w:marLeft w:val="0"/>
          <w:marRight w:val="0"/>
          <w:marTop w:val="0"/>
          <w:marBottom w:val="0"/>
          <w:divBdr>
            <w:top w:val="none" w:sz="0" w:space="0" w:color="auto"/>
            <w:left w:val="none" w:sz="0" w:space="0" w:color="auto"/>
            <w:bottom w:val="none" w:sz="0" w:space="0" w:color="auto"/>
            <w:right w:val="none" w:sz="0" w:space="0" w:color="auto"/>
          </w:divBdr>
          <w:divsChild>
            <w:div w:id="1372338745">
              <w:marLeft w:val="0"/>
              <w:marRight w:val="0"/>
              <w:marTop w:val="0"/>
              <w:marBottom w:val="0"/>
              <w:divBdr>
                <w:top w:val="none" w:sz="0" w:space="0" w:color="auto"/>
                <w:left w:val="none" w:sz="0" w:space="0" w:color="auto"/>
                <w:bottom w:val="none" w:sz="0" w:space="0" w:color="auto"/>
                <w:right w:val="none" w:sz="0" w:space="0" w:color="auto"/>
              </w:divBdr>
              <w:divsChild>
                <w:div w:id="478813828">
                  <w:marLeft w:val="0"/>
                  <w:marRight w:val="0"/>
                  <w:marTop w:val="0"/>
                  <w:marBottom w:val="0"/>
                  <w:divBdr>
                    <w:top w:val="none" w:sz="0" w:space="0" w:color="auto"/>
                    <w:left w:val="none" w:sz="0" w:space="0" w:color="auto"/>
                    <w:bottom w:val="none" w:sz="0" w:space="0" w:color="auto"/>
                    <w:right w:val="none" w:sz="0" w:space="0" w:color="auto"/>
                  </w:divBdr>
                  <w:divsChild>
                    <w:div w:id="120278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76919">
      <w:bodyDiv w:val="1"/>
      <w:marLeft w:val="0"/>
      <w:marRight w:val="0"/>
      <w:marTop w:val="0"/>
      <w:marBottom w:val="0"/>
      <w:divBdr>
        <w:top w:val="none" w:sz="0" w:space="0" w:color="auto"/>
        <w:left w:val="none" w:sz="0" w:space="0" w:color="auto"/>
        <w:bottom w:val="none" w:sz="0" w:space="0" w:color="auto"/>
        <w:right w:val="none" w:sz="0" w:space="0" w:color="auto"/>
      </w:divBdr>
      <w:divsChild>
        <w:div w:id="549078781">
          <w:marLeft w:val="0"/>
          <w:marRight w:val="0"/>
          <w:marTop w:val="0"/>
          <w:marBottom w:val="0"/>
          <w:divBdr>
            <w:top w:val="none" w:sz="0" w:space="0" w:color="auto"/>
            <w:left w:val="none" w:sz="0" w:space="0" w:color="auto"/>
            <w:bottom w:val="none" w:sz="0" w:space="0" w:color="auto"/>
            <w:right w:val="none" w:sz="0" w:space="0" w:color="auto"/>
          </w:divBdr>
          <w:divsChild>
            <w:div w:id="607353909">
              <w:marLeft w:val="0"/>
              <w:marRight w:val="0"/>
              <w:marTop w:val="0"/>
              <w:marBottom w:val="0"/>
              <w:divBdr>
                <w:top w:val="none" w:sz="0" w:space="0" w:color="auto"/>
                <w:left w:val="none" w:sz="0" w:space="0" w:color="auto"/>
                <w:bottom w:val="none" w:sz="0" w:space="0" w:color="auto"/>
                <w:right w:val="none" w:sz="0" w:space="0" w:color="auto"/>
              </w:divBdr>
              <w:divsChild>
                <w:div w:id="987779586">
                  <w:marLeft w:val="0"/>
                  <w:marRight w:val="0"/>
                  <w:marTop w:val="0"/>
                  <w:marBottom w:val="0"/>
                  <w:divBdr>
                    <w:top w:val="none" w:sz="0" w:space="0" w:color="auto"/>
                    <w:left w:val="none" w:sz="0" w:space="0" w:color="auto"/>
                    <w:bottom w:val="none" w:sz="0" w:space="0" w:color="auto"/>
                    <w:right w:val="none" w:sz="0" w:space="0" w:color="auto"/>
                  </w:divBdr>
                  <w:divsChild>
                    <w:div w:id="102848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esapeakebay.net/chesapeakebaywatershedagreement/goal/vital_habitats" TargetMode="External"/><Relationship Id="rId18" Type="http://schemas.openxmlformats.org/officeDocument/2006/relationships/hyperlink" Target="http://www.chesapeakebay.net/documents/FINAL_Fish_Passage_Outcome_6-13-14_PDF.pdf" TargetMode="External"/><Relationship Id="rId26" Type="http://schemas.openxmlformats.org/officeDocument/2006/relationships/hyperlink" Target="http://www.chesapeakebay.net/chesapeakebaywatershedagreement/goal/toxic_contaminants" TargetMode="External"/><Relationship Id="rId39" Type="http://schemas.openxmlformats.org/officeDocument/2006/relationships/hyperlink" Target="http://www.chesapeakebay.net/chesapeakebaywatershedagreement/goal/public_access" TargetMode="External"/><Relationship Id="rId3" Type="http://schemas.microsoft.com/office/2007/relationships/stylesWithEffects" Target="stylesWithEffects.xml"/><Relationship Id="rId21" Type="http://schemas.openxmlformats.org/officeDocument/2006/relationships/hyperlink" Target="http://www.chesapeakebay.net/documents/FINAL_Tree_Canopy_Outcome_6-13-14_PDF.pdf" TargetMode="External"/><Relationship Id="rId34" Type="http://schemas.openxmlformats.org/officeDocument/2006/relationships/hyperlink" Target="http://www.chesapeakebay.net/documents/FINAL_Diversity_Outcome_6-13-14_PDF.pdf" TargetMode="External"/><Relationship Id="rId42" Type="http://schemas.openxmlformats.org/officeDocument/2006/relationships/hyperlink" Target="http://www.chesapeakebay.net/documents/FINAL_Enviro_Literacy_Student_Outcome_6-13-14_PDF.pdf" TargetMode="External"/><Relationship Id="rId47" Type="http://schemas.openxmlformats.org/officeDocument/2006/relationships/hyperlink" Target="http://www.chesapeakebay.net/documents/FINAL_Adaptation_Outcome_6-13-14_PDF.pdf"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hesapeakebay.net/documents/FINAL_Fish_Habitat_Outcome_6-13-14_PDF.pdf" TargetMode="External"/><Relationship Id="rId17" Type="http://schemas.openxmlformats.org/officeDocument/2006/relationships/hyperlink" Target="http://www.chesapeakebay.net/documents/FINAL_Brook_Trout_Outcome_6-13-14_PDF.pdf" TargetMode="External"/><Relationship Id="rId25" Type="http://schemas.openxmlformats.org/officeDocument/2006/relationships/hyperlink" Target="http://www.chesapeakebay.net/documents/FINAL_WQ_Stand_Attain._6-13-14_PDF.pdf" TargetMode="External"/><Relationship Id="rId33" Type="http://schemas.openxmlformats.org/officeDocument/2006/relationships/hyperlink" Target="http://www.chesapeakebay.net/documents/FINAL_Local_leadership_Outcome_6-13-14_PDF.pdf" TargetMode="External"/><Relationship Id="rId38" Type="http://schemas.openxmlformats.org/officeDocument/2006/relationships/hyperlink" Target="http://www.chesapeakebay.net/documents/FINAL_Land_Use_Options_Outcome_6-13-14_PDF.pdf" TargetMode="External"/><Relationship Id="rId46" Type="http://schemas.openxmlformats.org/officeDocument/2006/relationships/hyperlink" Target="http://www.chesapeakebay.net/documents/FINAL_Monitoring_and_Assessment_Outcome_6-13-14_PDF.pdf" TargetMode="External"/><Relationship Id="rId2" Type="http://schemas.openxmlformats.org/officeDocument/2006/relationships/styles" Target="styles.xml"/><Relationship Id="rId16" Type="http://schemas.openxmlformats.org/officeDocument/2006/relationships/hyperlink" Target="http://www.chesapeakebay.net/documents/FINAL_Stream_Health_Outcome_6-13-14_PDF.pdf" TargetMode="External"/><Relationship Id="rId20" Type="http://schemas.openxmlformats.org/officeDocument/2006/relationships/hyperlink" Target="http://www.chesapeakebay.net/documents/FINAL_Forest_Buffer_Outcome_6-13-14_PDF.pdf" TargetMode="External"/><Relationship Id="rId29" Type="http://schemas.openxmlformats.org/officeDocument/2006/relationships/hyperlink" Target="http://www.chesapeakebay.net/chesapeakebaywatershedagreement/goal/healthy_watersheds" TargetMode="External"/><Relationship Id="rId41" Type="http://schemas.openxmlformats.org/officeDocument/2006/relationships/hyperlink" Target="http://www.chesapeakebay.net/chesapeakebaywatershedagreement/goal/environmental_liter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sapeakebay.net/documents/FINAL_Forage_Fish_Outcome_6-13-14_PDF.pdf" TargetMode="External"/><Relationship Id="rId24" Type="http://schemas.openxmlformats.org/officeDocument/2006/relationships/hyperlink" Target="http://www.chesapeakebay.net/documents/FINAL_WIP_Outcome_6-13-14_PDF.pdf" TargetMode="External"/><Relationship Id="rId32" Type="http://schemas.openxmlformats.org/officeDocument/2006/relationships/hyperlink" Target="http://www.chesapeakebay.net/documents/FINAL_Citizen_Stewardship_Outcome_6-13-14_PDF.pdf" TargetMode="External"/><Relationship Id="rId37" Type="http://schemas.openxmlformats.org/officeDocument/2006/relationships/hyperlink" Target="http://www.chesapeakebay.net/documents/FINAL_Land_Use_Methods_Metrics_Outcome_6-13-14_PDF.pdf" TargetMode="External"/><Relationship Id="rId40" Type="http://schemas.openxmlformats.org/officeDocument/2006/relationships/hyperlink" Target="http://www.chesapeakebay.net/documents/FINAL_Public_Access_Outcome_6-13-14_PDF.pdf" TargetMode="External"/><Relationship Id="rId45" Type="http://schemas.openxmlformats.org/officeDocument/2006/relationships/hyperlink" Target="http://www.chesapeakebay.net/chesapeakebaywatershedagreement/goal/resiliency" TargetMode="External"/><Relationship Id="rId5" Type="http://schemas.openxmlformats.org/officeDocument/2006/relationships/webSettings" Target="webSettings.xml"/><Relationship Id="rId15" Type="http://schemas.openxmlformats.org/officeDocument/2006/relationships/hyperlink" Target="http://www.chesapeakebay.net/documents/FINAL_Black_Duck_Outcome_6-13-14_PDF.pdf" TargetMode="External"/><Relationship Id="rId23" Type="http://schemas.openxmlformats.org/officeDocument/2006/relationships/hyperlink" Target="http://www.chesapeakebay.net/documents/FINAL_WIP_Outcome_6-13-14_PDF.pdf" TargetMode="External"/><Relationship Id="rId28" Type="http://schemas.openxmlformats.org/officeDocument/2006/relationships/hyperlink" Target="http://www.chesapeakebay.net/documents/FINAL_Toxic_Pollution_Prevention_Outcome_6-13-14_PDF.pdf" TargetMode="External"/><Relationship Id="rId36" Type="http://schemas.openxmlformats.org/officeDocument/2006/relationships/hyperlink" Target="http://www.chesapeakebay.net/documents/FINAL_Protected_Lands_Outcome_6-13-14_PDF.pdf" TargetMode="External"/><Relationship Id="rId49" Type="http://schemas.openxmlformats.org/officeDocument/2006/relationships/header" Target="header1.xml"/><Relationship Id="rId10" Type="http://schemas.openxmlformats.org/officeDocument/2006/relationships/hyperlink" Target="http://www.chesapeakebay.net/documents/FINAL_Oyster_Outcome_6-13-14_PDF.pdf" TargetMode="External"/><Relationship Id="rId19" Type="http://schemas.openxmlformats.org/officeDocument/2006/relationships/hyperlink" Target="http://www.chesapeakebay.net/documents/FINAL_SAV_Abundance_Outcome_6-13-14_PDF.pdf" TargetMode="External"/><Relationship Id="rId31" Type="http://schemas.openxmlformats.org/officeDocument/2006/relationships/hyperlink" Target="http://www.chesapeakebay.net/chesapeakebaywatershedagreement/goal/stewardship" TargetMode="External"/><Relationship Id="rId44" Type="http://schemas.openxmlformats.org/officeDocument/2006/relationships/hyperlink" Target="http://www.chesapeakebay.net/documents/FINAL_Enviro_Literacy_Planning_Outcome_6-13-14_PDF.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sapeakebay.net/documents/FINAL_Blue_Crab_Management_Outcome_6-13-14_PDF.pdf" TargetMode="External"/><Relationship Id="rId14" Type="http://schemas.openxmlformats.org/officeDocument/2006/relationships/hyperlink" Target="http://www.chesapeakebay.net/documents/FINAL_Wetlands_Outcome_6-13-14_PDF.pdf" TargetMode="External"/><Relationship Id="rId22" Type="http://schemas.openxmlformats.org/officeDocument/2006/relationships/hyperlink" Target="http://www.chesapeakebay.net/chesapeakebaywatershedagreement/goal/water_quality" TargetMode="External"/><Relationship Id="rId27" Type="http://schemas.openxmlformats.org/officeDocument/2006/relationships/hyperlink" Target="http://www.chesapeakebay.net/documents/FINAL_Toxic_Research_Outcome_6-13-14_PDF.pdf" TargetMode="External"/><Relationship Id="rId30" Type="http://schemas.openxmlformats.org/officeDocument/2006/relationships/hyperlink" Target="http://www.chesapeakebay.net/documents/FINAL_Healthy_Watersheds_Outcome_6-13-14_PDF.pdf" TargetMode="External"/><Relationship Id="rId35" Type="http://schemas.openxmlformats.org/officeDocument/2006/relationships/hyperlink" Target="http://www.chesapeakebay.net/chesapeakebaywatershedagreement/goal/land_conservation" TargetMode="External"/><Relationship Id="rId43" Type="http://schemas.openxmlformats.org/officeDocument/2006/relationships/hyperlink" Target="http://www.chesapeakebay.net/documents/FINAL_Enviro_Literacy_Sustainable_Schools_Outcome_6-13-14_PDF.pdf" TargetMode="External"/><Relationship Id="rId48" Type="http://schemas.openxmlformats.org/officeDocument/2006/relationships/footer" Target="footer1.xml"/><Relationship Id="rId8" Type="http://schemas.openxmlformats.org/officeDocument/2006/relationships/hyperlink" Target="http://www.chesapeakebay.net/documents/FINAL_Blue_Crab_Abundance_Outcome_6-13-14.pdf"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E68A-DE2B-4B9B-9A57-948DA2D3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mgattis</dc:creator>
  <cp:keywords/>
  <dc:description/>
  <cp:lastModifiedBy>Perumalla Srinivasa Rao</cp:lastModifiedBy>
  <cp:revision>8</cp:revision>
  <dcterms:created xsi:type="dcterms:W3CDTF">2014-06-24T17:00:00Z</dcterms:created>
  <dcterms:modified xsi:type="dcterms:W3CDTF">2016-08-23T06:50:00Z</dcterms:modified>
</cp:coreProperties>
</file>